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MuniMetrics Credit Analysis Report</w:t>
      </w:r>
    </w:p>
    <w:p>
      <w:r>
        <w:t>Issuer: Commonwealth of Pennsylvania</w:t>
      </w:r>
    </w:p>
    <w:p>
      <w:r>
        <w:t>Bond / Issue: Commonwealth of Pennsylvania — General Obligation Bonds, First Series of 2026 and First Refunding Series of 2026</w:t>
      </w:r>
    </w:p>
    <w:p>
      <w:r>
        <w:t>CUSIP: Not provided</w:t>
      </w:r>
    </w:p>
    <w:p>
      <w:r>
        <w:t>Sector: State Government</w:t>
      </w:r>
    </w:p>
    <w:p>
      <w:r>
        <w:t>Bond Type: General Obligation</w:t>
      </w:r>
    </w:p>
    <w:p>
      <w:r>
        <w:t>State: Pennsylvania</w:t>
      </w:r>
    </w:p>
    <w:p>
      <w:r>
        <w:t>Analyst: MZ Test Pen</w:t>
      </w:r>
    </w:p>
    <w:p>
      <w:r>
        <w:t>Status: Preliminary</w:t>
      </w:r>
    </w:p>
    <w:p>
      <w:r>
        <w:t>System Recommendation: Watch | Score: 64</w:t>
      </w:r>
    </w:p>
    <w:p>
      <w:r>
        <w:t>Recommendation Basis: Preliminary score or unresolved data items support monitoring before a Buy decision.</w:t>
      </w:r>
    </w:p>
    <w:p>
      <w:r>
        <w:t>Analyst Recommendation: Watch</w:t>
      </w:r>
    </w:p>
    <w:p>
      <w:pPr>
        <w:pStyle w:val="Heading1"/>
      </w:pPr>
      <w:r>
        <w:t>Investment Thesis</w:t>
      </w:r>
    </w:p>
    <w:p>
      <w:r>
        <w:t>Recommendation: Watch</w:t>
      </w:r>
    </w:p>
    <w:p>
      <w:r>
        <w:t xml:space="preserve">Core Thesis:  </w:t>
        <w:br/>
        <w:t>The Commonwealth of Pennsylvania General Obligation Bonds, First Series of 2026 and First Refunding Series of 2026, warrant a Watch posture based on the preliminary rule-based total score of 64, both system and analyst recommendation of Watch, and unresolved analyst-review items. The General Obligation pledge and State Government issuer profile are supportive, and the framework shows positive score contributions across Financial Trend Strength, Economic Resilience, Debt Burden / Coverage, Temporary Funding Dependency, Governance / Disclosure Quality, and Bond Structure Protections. However, fiscal 2024 and fiscal 2025 both show deficits, with fiscal 2025 reported and adjusted surplus both negative $3.666 billion. General Fund balance / unrestricted reserves declined from $8.085 billion in fiscal 2023 to $6.632 billion in fiscal 2024 and $4.156 billion in fiscal 2025. Temporary funding dependency is currently classified as Low, with latest temporary funding equal to 0.0% of revenue, but multiple temporary funding, operating-support, reimbursement, capital-only, and unclear federal or special-fund findings remain unapproved and require analyst validation before final approval.</w:t>
      </w:r>
    </w:p>
    <w:p>
      <w:r>
        <w:t>Why This Bond May Be Attractive:</w:t>
        <w:br/>
        <w:t>- The bonds are General Obligation bonds of the Commonwealth of Pennsylvania.</w:t>
        <w:br/>
        <w:t>- The issuer is a State Government issuer.</w:t>
        <w:br/>
        <w:t>- The preliminary rule-based outcome is Watch, supported by a total score of 64.</w:t>
        <w:br/>
        <w:t>- Score components show positive contributions across several categories:</w:t>
        <w:br/>
        <w:t xml:space="preserve">  - Financial Trend Strength: 10</w:t>
        <w:br/>
        <w:t xml:space="preserve">  - Economic Resilience: 14</w:t>
        <w:br/>
        <w:t xml:space="preserve">  - Debt Burden / Coverage: 15</w:t>
        <w:br/>
        <w:t xml:space="preserve">  - Temporary Funding Dependency: 20</w:t>
        <w:br/>
        <w:t xml:space="preserve">  - Governance / Disclosure Quality: 8</w:t>
        <w:br/>
        <w:t xml:space="preserve">  - Bond Structure Protections: 5</w:t>
        <w:br/>
        <w:t>- Temporary funding dependency is currently classified as Low.</w:t>
        <w:br/>
        <w:t>- Latest temporary funding is reported at 0.0% of revenue.</w:t>
        <w:br/>
        <w:t>- Reported and adjusted recurring results were positive in fiscal years 2021, 2022, and 2023:</w:t>
        <w:br/>
        <w:t xml:space="preserve">  - Fiscal 2021: revenue of $93.885 billion versus expenses of $88.768 billion, surplus of $5.117 billion.</w:t>
        <w:br/>
        <w:t xml:space="preserve">  - Fiscal 2022: revenue of $108.013 billion versus expenses of $100.650 billion, surplus of $7.363 billion.</w:t>
        <w:br/>
        <w:t xml:space="preserve">  - Fiscal 2023: revenue of $93.791 billion versus expenses of $91.164 billion, surplus of $2.627 billion.</w:t>
        <w:br/>
        <w:t>- General Fund balance / unrestricted reserves remained positive at $4.156 billion in fiscal 2025.</w:t>
        <w:br/>
        <w:t>- Fiscal 2023 notes indicate General Fund revenues exceeded General Fund expenditures and a partial transfer of surplus to the Budget Stabilization Fund in the amount of $898; later findings also reference $737 transfers related to budget stabilization. These items remain unclear / analyst review required.</w:t>
      </w:r>
    </w:p>
    <w:p>
      <w:r>
        <w:t>Why This Bond Requires Caution:</w:t>
        <w:br/>
        <w:t>- Fiscal 2025 reported and adjusted surplus are both negative $3.666 billion.</w:t>
        <w:br/>
        <w:t>- Fiscal 2024 also showed a deficit:</w:t>
        <w:br/>
        <w:t xml:space="preserve">  - Revenue of $93.003 billion versus expenses of $94.381 billion, deficit of $1.378 billion.</w:t>
        <w:br/>
        <w:t>- Fiscal 2025 showed a larger deficit:</w:t>
        <w:br/>
        <w:t xml:space="preserve">  - Revenue of $98.312 billion versus expenses of $101.978 billion, deficit of $3.666 billion.</w:t>
        <w:br/>
        <w:t>- General Fund balance / unrestricted reserves declined over the last three reported fiscal years:</w:t>
        <w:br/>
        <w:t xml:space="preserve">  - Fiscal 2023: $8.085 billion</w:t>
        <w:br/>
        <w:t xml:space="preserve">  - Fiscal 2024: $6.632 billion</w:t>
        <w:br/>
        <w:t xml:space="preserve">  - Fiscal 2025: $4.156 billion</w:t>
        <w:br/>
        <w:t>- Rule-based red flags identify:</w:t>
        <w:br/>
        <w:t xml:space="preserve">  - Latest-year adjusted recurring results show a deficit.</w:t>
        <w:br/>
        <w:t xml:space="preserve">  - Possible temporary funding used for operating support.</w:t>
        <w:br/>
        <w:t xml:space="preserve">  - High-risk temporary funding reference requires analyst review.</w:t>
        <w:br/>
        <w:t>- All annual financial trend rows are marked “Analyst review required” and are not analyst approved.</w:t>
        <w:br/>
        <w:t>- Annual trend notes state that the data were extracted from ACFRs using budgetary-basis General Fund language and should be reconciled against GAAP governmental fund statements before final approval.</w:t>
        <w:br/>
        <w:t>- Debt service fields in the annual financial trend rows are populated as 0.0, so debt service and coverage conclusions should not be relied upon without validation.</w:t>
        <w:br/>
        <w:t>- Temporary/artificial funding findings remain unapproved and include high-risk reimbursement and operating-support references, medium-risk temporary funding references, capital-only references, and unclear items.</w:t>
      </w:r>
    </w:p>
    <w:p>
      <w:r>
        <w:t>Temporary Funding / Artificial Support Analysis:</w:t>
        <w:br/>
        <w:t>- The rule-based metrics currently classify temporary funding dependency as Low, with latest temporary funding equal to 0.0% of revenue.</w:t>
        <w:br/>
        <w:t>- Annual financial trend rows show temporary funding of 0.0 in each fiscal year from 2021 through 2025.</w:t>
        <w:br/>
        <w:t>- Because no temporary funding has been quantified in the annual trend rows, temporary funds do not currently change the measured latest-year recurring result; fiscal 2025 reported and adjusted surplus are both negative $3.666 billion.</w:t>
        <w:br/>
        <w:t>- However, the document findings include multiple references that require analyst review before concluding that temporary funding does not affect recurring credit strength.</w:t>
      </w:r>
    </w:p>
    <w:p>
      <w:r>
        <w:t>Specific temporary/artificial support items:</w:t>
        <w:br/>
        <w:t>- Operating support:</w:t>
        <w:br/>
        <w:t xml:space="preserve">  - Fiscal 2023 includes a High-risk, High-confidence COVID-related finding classified as Operating Support, referencing Department of Human Services COVID funding related to the medical assistance program and the end of SNAP COVID emergency benefits.</w:t>
        <w:br/>
        <w:t>- Temporary funding:</w:t>
        <w:br/>
        <w:t xml:space="preserve">  - Findings include CARES, ARPA, American Rescue Plan, Coronavirus State Fiscal Recovery Fund, ESSER, GEER, emergency relief, fiscal recovery funds, federal grants, one-time items, and rescue plan references.</w:t>
        <w:br/>
        <w:t xml:space="preserve">  - Fiscal 2025 includes a finding that Act 54 of 2024 provided for reallocation of unexpended, uncommitted, and unencumbered funds received under the American Rescue Plan Act and appropriated from the COVID-19 Response Restricted Account to be utilized by the Department of Corrections.</w:t>
        <w:br/>
        <w:t xml:space="preserve">  - Fiscal 2024 includes references to State and Local Fiscal Recovery Funds, COVID-related education reimbursements associated with ESSER and GEER programs set to expire in fall 2024, and remaining ARPA-related funds.</w:t>
        <w:br/>
        <w:t xml:space="preserve">  - Fiscal 2023 includes references to CARES Act, ARPA, ESSER, GEER, COVID funding, and federal Coronavirus State Fiscal Recovery Fund monies.</w:t>
        <w:br/>
        <w:t>- Reimbursement funding:</w:t>
        <w:br/>
        <w:t xml:space="preserve">  - Fiscal 2023, fiscal 2024, and fiscal 2025 each include High-risk, Medium-confidence findings classified as Reimbursement Funding, stating that internal service funds are designed to function on a cost-reimbursement basis, primarily providing benefits to other funds, departments, or agencies of the Commonwealth.</w:t>
        <w:br/>
        <w:t>- Capital-only funding:</w:t>
        <w:br/>
        <w:t xml:space="preserve">  - Fiscal 2024 includes Low-risk, High-confidence capital-only findings referencing use of federal funding opportunities provided through the Infrastructure Investment and Jobs Act, Inflation Reduction Act, and remaining ARPA funds, while also continuing to utilize other special funds to meet critical program and administrative needs.</w:t>
        <w:br/>
        <w:t>- Unclear / analyst review required:</w:t>
        <w:br/>
        <w:t xml:space="preserve">  - Budget stabilization references remain unclear, including the fiscal 2023 partial transfer of surplus to the Budget Stabilization Fund in the amount of $898 and fiscal 2024 / fiscal 2025 references to $737 transferred to the Budget Stabilization Fund or Rainy Day Fund Pool.</w:t>
        <w:br/>
        <w:t xml:space="preserve">  - Certain federal grant and fiscal recovery fund references are also classified as unclear / analyst review required.</w:t>
      </w:r>
    </w:p>
    <w:p>
      <w:r>
        <w:t>Reported vs. Adjusted Credit View:</w:t>
        <w:br/>
        <w:t>- The reported and adjusted credit view are currently the same in the rule-based metrics.</w:t>
        <w:br/>
        <w:t>- Fiscal 2025 latest reported surplus: negative $3.666 billion.</w:t>
        <w:br/>
        <w:t>- Fiscal 2025 latest adjusted surplus: negative $3.666 billion.</w:t>
        <w:br/>
        <w:t>- Temporary funding is shown as 0.0 in each annual financial trend row from fiscal 2021 through fiscal 2025.</w:t>
        <w:br/>
        <w:t>- Because no temporary funding has been quantified, separating temporary funding currently does not alter the measured surplus / deficit profile.</w:t>
        <w:br/>
        <w:t>- The recurring trend still weakens materially in the last two fiscal years:</w:t>
        <w:br/>
        <w:t xml:space="preserve">  - Surpluses in fiscal 2021, fiscal 2022, and fiscal 2023.</w:t>
        <w:br/>
        <w:t xml:space="preserve">  - Deficits in fiscal 2024 and fiscal 2025.</w:t>
        <w:br/>
        <w:t>- The adjusted view remains cautious because the latest-year deficit persists before any additional analyst adjustments for temporary funding, operating support, reimbursement items, capital-only resources, or unclear federal / special-fund items.</w:t>
      </w:r>
    </w:p>
    <w:p>
      <w:r>
        <w:t>Key Follow-Up Before Final Approval:</w:t>
        <w:br/>
        <w:t>- Reconcile the budgetary-basis General Fund revenue, expenditure, surplus / deficit, and fund balance figures against GAAP governmental fund statements before final approval.</w:t>
        <w:br/>
        <w:t>- Confirm whether the 0.0 temporary funding entries in the annual financial trend rows are appropriate for fiscal years 2021 through 2025.</w:t>
        <w:br/>
        <w:t>- Review and approve, reject, or reclassify all temporary/artificial funding findings, including:</w:t>
        <w:br/>
        <w:t xml:space="preserve">  - Operating Support finding related to fiscal 2023 COVID funding for the Department of Human Services</w:t>
      </w:r>
    </w:p>
    <w:p>
      <w:pPr>
        <w:pStyle w:val="Heading1"/>
      </w:pPr>
      <w:r>
        <w:t>Score Components</w:t>
      </w:r>
    </w:p>
    <w:tbl>
      <w:tblPr>
        <w:tblStyle w:val="TableGrid"/>
        <w:tblW w:type="auto" w:w="0"/>
        <w:tblLook w:firstColumn="1" w:firstRow="1" w:lastColumn="0" w:lastRow="0" w:noHBand="0" w:noVBand="1" w:val="04A0"/>
      </w:tblPr>
      <w:tblGrid>
        <w:gridCol w:w="4968"/>
        <w:gridCol w:w="4968"/>
      </w:tblGrid>
      <w:tr>
        <w:tc>
          <w:tcPr>
            <w:tcW w:type="dxa" w:w="4968"/>
          </w:tcPr>
          <w:p>
            <w:r>
              <w:t>Category</w:t>
            </w:r>
          </w:p>
        </w:tc>
        <w:tc>
          <w:tcPr>
            <w:tcW w:type="dxa" w:w="4968"/>
          </w:tcPr>
          <w:p>
            <w:r>
              <w:t>Score</w:t>
            </w:r>
          </w:p>
        </w:tc>
      </w:tr>
      <w:tr>
        <w:tc>
          <w:tcPr>
            <w:tcW w:type="dxa" w:w="4968"/>
          </w:tcPr>
          <w:p>
            <w:r>
              <w:t>Financial Trend Strength</w:t>
            </w:r>
          </w:p>
        </w:tc>
        <w:tc>
          <w:tcPr>
            <w:tcW w:type="dxa" w:w="4968"/>
          </w:tcPr>
          <w:p>
            <w:r>
              <w:t>10</w:t>
            </w:r>
          </w:p>
        </w:tc>
      </w:tr>
      <w:tr>
        <w:tc>
          <w:tcPr>
            <w:tcW w:type="dxa" w:w="4968"/>
          </w:tcPr>
          <w:p>
            <w:r>
              <w:t>Economic Resilience</w:t>
            </w:r>
          </w:p>
        </w:tc>
        <w:tc>
          <w:tcPr>
            <w:tcW w:type="dxa" w:w="4968"/>
          </w:tcPr>
          <w:p>
            <w:r>
              <w:t>14</w:t>
            </w:r>
          </w:p>
        </w:tc>
      </w:tr>
      <w:tr>
        <w:tc>
          <w:tcPr>
            <w:tcW w:type="dxa" w:w="4968"/>
          </w:tcPr>
          <w:p>
            <w:r>
              <w:t>Debt Burden / Coverage</w:t>
            </w:r>
          </w:p>
        </w:tc>
        <w:tc>
          <w:tcPr>
            <w:tcW w:type="dxa" w:w="4968"/>
          </w:tcPr>
          <w:p>
            <w:r>
              <w:t>15</w:t>
            </w:r>
          </w:p>
        </w:tc>
      </w:tr>
      <w:tr>
        <w:tc>
          <w:tcPr>
            <w:tcW w:type="dxa" w:w="4968"/>
          </w:tcPr>
          <w:p>
            <w:r>
              <w:t>Temporary Funding Dependency</w:t>
            </w:r>
          </w:p>
        </w:tc>
        <w:tc>
          <w:tcPr>
            <w:tcW w:type="dxa" w:w="4968"/>
          </w:tcPr>
          <w:p>
            <w:r>
              <w:t>20</w:t>
            </w:r>
          </w:p>
        </w:tc>
      </w:tr>
      <w:tr>
        <w:tc>
          <w:tcPr>
            <w:tcW w:type="dxa" w:w="4968"/>
          </w:tcPr>
          <w:p>
            <w:r>
              <w:t>Governance / Disclosure Quality</w:t>
            </w:r>
          </w:p>
        </w:tc>
        <w:tc>
          <w:tcPr>
            <w:tcW w:type="dxa" w:w="4968"/>
          </w:tcPr>
          <w:p>
            <w:r>
              <w:t>8</w:t>
            </w:r>
          </w:p>
        </w:tc>
      </w:tr>
      <w:tr>
        <w:tc>
          <w:tcPr>
            <w:tcW w:type="dxa" w:w="4968"/>
          </w:tcPr>
          <w:p>
            <w:r>
              <w:t>Bond Structure Protections</w:t>
            </w:r>
          </w:p>
        </w:tc>
        <w:tc>
          <w:tcPr>
            <w:tcW w:type="dxa" w:w="4968"/>
          </w:tcPr>
          <w:p>
            <w:r>
              <w:t>5</w:t>
            </w:r>
          </w:p>
        </w:tc>
      </w:tr>
    </w:tbl>
    <w:p>
      <w:pPr>
        <w:pStyle w:val="Heading1"/>
      </w:pPr>
      <w:r>
        <w:t>Annual Financial Trend</w:t>
      </w:r>
    </w:p>
    <w:tbl>
      <w:tblPr>
        <w:tblStyle w:val="TableGrid"/>
        <w:tblW w:type="auto" w:w="0"/>
        <w:tblLook w:firstColumn="1" w:firstRow="1" w:lastColumn="0" w:lastRow="0" w:noHBand="0" w:noVBand="1" w:val="04A0"/>
      </w:tblPr>
      <w:tblGrid>
        <w:gridCol w:w="1104"/>
        <w:gridCol w:w="1104"/>
        <w:gridCol w:w="1104"/>
        <w:gridCol w:w="1104"/>
        <w:gridCol w:w="1104"/>
        <w:gridCol w:w="1104"/>
        <w:gridCol w:w="1104"/>
        <w:gridCol w:w="1104"/>
        <w:gridCol w:w="1104"/>
      </w:tblGrid>
      <w:tr>
        <w:tc>
          <w:tcPr>
            <w:tcW w:type="dxa" w:w="1104"/>
          </w:tcPr>
          <w:p>
            <w:r>
              <w:t>Fiscal Year</w:t>
            </w:r>
          </w:p>
        </w:tc>
        <w:tc>
          <w:tcPr>
            <w:tcW w:type="dxa" w:w="1104"/>
          </w:tcPr>
          <w:p>
            <w:r>
              <w:t>Total Revenue</w:t>
            </w:r>
          </w:p>
        </w:tc>
        <w:tc>
          <w:tcPr>
            <w:tcW w:type="dxa" w:w="1104"/>
          </w:tcPr>
          <w:p>
            <w:r>
              <w:t>Recurring Revenue</w:t>
            </w:r>
          </w:p>
        </w:tc>
        <w:tc>
          <w:tcPr>
            <w:tcW w:type="dxa" w:w="1104"/>
          </w:tcPr>
          <w:p>
            <w:r>
              <w:t>Temporary Funding</w:t>
            </w:r>
          </w:p>
        </w:tc>
        <w:tc>
          <w:tcPr>
            <w:tcW w:type="dxa" w:w="1104"/>
          </w:tcPr>
          <w:p>
            <w:r>
              <w:t>Expenses</w:t>
            </w:r>
          </w:p>
        </w:tc>
        <w:tc>
          <w:tcPr>
            <w:tcW w:type="dxa" w:w="1104"/>
          </w:tcPr>
          <w:p>
            <w:r>
              <w:t>Debt Service</w:t>
            </w:r>
          </w:p>
        </w:tc>
        <w:tc>
          <w:tcPr>
            <w:tcW w:type="dxa" w:w="1104"/>
          </w:tcPr>
          <w:p>
            <w:r>
              <w:t>Fund Balance</w:t>
            </w:r>
          </w:p>
        </w:tc>
        <w:tc>
          <w:tcPr>
            <w:tcW w:type="dxa" w:w="1104"/>
          </w:tcPr>
          <w:p>
            <w:r>
              <w:t>Unrestricted Reserves</w:t>
            </w:r>
          </w:p>
        </w:tc>
        <w:tc>
          <w:tcPr>
            <w:tcW w:type="dxa" w:w="1104"/>
          </w:tcPr>
          <w:p>
            <w:r>
              <w:t>Notes</w:t>
            </w:r>
          </w:p>
        </w:tc>
      </w:tr>
      <w:tr>
        <w:tc>
          <w:tcPr>
            <w:tcW w:type="dxa" w:w="1104"/>
          </w:tcPr>
          <w:p>
            <w:r>
              <w:t>2021</w:t>
            </w:r>
          </w:p>
        </w:tc>
        <w:tc>
          <w:tcPr>
            <w:tcW w:type="dxa" w:w="1104"/>
          </w:tcPr>
          <w:p>
            <w:r>
              <w:t>$93.885B</w:t>
            </w:r>
          </w:p>
        </w:tc>
        <w:tc>
          <w:tcPr>
            <w:tcW w:type="dxa" w:w="1104"/>
          </w:tcPr>
          <w:p>
            <w:r>
              <w:t>$93.885B</w:t>
            </w:r>
          </w:p>
        </w:tc>
        <w:tc>
          <w:tcPr>
            <w:tcW w:type="dxa" w:w="1104"/>
          </w:tcPr>
          <w:p>
            <w:r>
              <w:t>$0</w:t>
            </w:r>
          </w:p>
        </w:tc>
        <w:tc>
          <w:tcPr>
            <w:tcW w:type="dxa" w:w="1104"/>
          </w:tcPr>
          <w:p>
            <w:r>
              <w:t>$88.768B</w:t>
            </w:r>
          </w:p>
        </w:tc>
        <w:tc>
          <w:tcPr>
            <w:tcW w:type="dxa" w:w="1104"/>
          </w:tcPr>
          <w:p>
            <w:r>
              <w:t>$0</w:t>
            </w:r>
          </w:p>
        </w:tc>
        <w:tc>
          <w:tcPr>
            <w:tcW w:type="dxa" w:w="1104"/>
          </w:tcPr>
          <w:p>
            <w:r>
              <w:t>$0</w:t>
            </w:r>
          </w:p>
        </w:tc>
        <w:tc>
          <w:tcPr>
            <w:tcW w:type="dxa" w:w="1104"/>
          </w:tcPr>
          <w:p>
            <w:r>
              <w:t>$0</w:t>
            </w:r>
          </w:p>
        </w:tc>
        <w:tc>
          <w:tcPr>
            <w:tcW w:type="dxa" w:w="1104"/>
          </w:tcPr>
          <w:p>
            <w:r>
              <w:t>AI extracted from june-30-2021-acfr.pdf. Analyst review required. Deterministic State/Commonwealth ACFR extraction from budgetary-basis General Fund language. Revenue collections 93,885,000,000; appropriation authorizations/expenditures 88,768,000,000; implied adjusted surplus/deficit 5,117,000,000; year-end General Fund balance 0. Amounts were stated in millions in the ACFR and converted to dollars. Analyst should reconcile budgetary basis against GAAP governmental fund statements before final approval.</w:t>
            </w:r>
          </w:p>
        </w:tc>
      </w:tr>
      <w:tr>
        <w:tc>
          <w:tcPr>
            <w:tcW w:type="dxa" w:w="1104"/>
          </w:tcPr>
          <w:p>
            <w:r>
              <w:t>2022</w:t>
            </w:r>
          </w:p>
        </w:tc>
        <w:tc>
          <w:tcPr>
            <w:tcW w:type="dxa" w:w="1104"/>
          </w:tcPr>
          <w:p>
            <w:r>
              <w:t>$108.013B</w:t>
            </w:r>
          </w:p>
        </w:tc>
        <w:tc>
          <w:tcPr>
            <w:tcW w:type="dxa" w:w="1104"/>
          </w:tcPr>
          <w:p>
            <w:r>
              <w:t>$108.013B</w:t>
            </w:r>
          </w:p>
        </w:tc>
        <w:tc>
          <w:tcPr>
            <w:tcW w:type="dxa" w:w="1104"/>
          </w:tcPr>
          <w:p>
            <w:r>
              <w:t>$0</w:t>
            </w:r>
          </w:p>
        </w:tc>
        <w:tc>
          <w:tcPr>
            <w:tcW w:type="dxa" w:w="1104"/>
          </w:tcPr>
          <w:p>
            <w:r>
              <w:t>$100.650B</w:t>
            </w:r>
          </w:p>
        </w:tc>
        <w:tc>
          <w:tcPr>
            <w:tcW w:type="dxa" w:w="1104"/>
          </w:tcPr>
          <w:p>
            <w:r>
              <w:t>$0</w:t>
            </w:r>
          </w:p>
        </w:tc>
        <w:tc>
          <w:tcPr>
            <w:tcW w:type="dxa" w:w="1104"/>
          </w:tcPr>
          <w:p>
            <w:r>
              <w:t>$5.537B</w:t>
            </w:r>
          </w:p>
        </w:tc>
        <w:tc>
          <w:tcPr>
            <w:tcW w:type="dxa" w:w="1104"/>
          </w:tcPr>
          <w:p>
            <w:r>
              <w:t>$5.537B</w:t>
            </w:r>
          </w:p>
        </w:tc>
        <w:tc>
          <w:tcPr>
            <w:tcW w:type="dxa" w:w="1104"/>
          </w:tcPr>
          <w:p>
            <w:r>
              <w:t>AI extracted from june-30-2022-acfr.pdf. Analyst review required. Deterministic State/Commonwealth ACFR extraction from budgetary-basis General Fund language. Revenue collections 108,013,000,000; appropriation authorizations/expenditures 100,650,000,000; implied adjusted surplus/deficit 7,363,000,000; year-end General Fund balance 5,537,000,000. Amounts were stated in millions in the ACFR and converted to dollars. Analyst should reconcile budgetary basis against GAAP governmental fund statements before final approval.</w:t>
            </w:r>
          </w:p>
        </w:tc>
      </w:tr>
      <w:tr>
        <w:tc>
          <w:tcPr>
            <w:tcW w:type="dxa" w:w="1104"/>
          </w:tcPr>
          <w:p>
            <w:r>
              <w:t>2023</w:t>
            </w:r>
          </w:p>
        </w:tc>
        <w:tc>
          <w:tcPr>
            <w:tcW w:type="dxa" w:w="1104"/>
          </w:tcPr>
          <w:p>
            <w:r>
              <w:t>$93.791B</w:t>
            </w:r>
          </w:p>
        </w:tc>
        <w:tc>
          <w:tcPr>
            <w:tcW w:type="dxa" w:w="1104"/>
          </w:tcPr>
          <w:p>
            <w:r>
              <w:t>$93.791B</w:t>
            </w:r>
          </w:p>
        </w:tc>
        <w:tc>
          <w:tcPr>
            <w:tcW w:type="dxa" w:w="1104"/>
          </w:tcPr>
          <w:p>
            <w:r>
              <w:t>$0</w:t>
            </w:r>
          </w:p>
        </w:tc>
        <w:tc>
          <w:tcPr>
            <w:tcW w:type="dxa" w:w="1104"/>
          </w:tcPr>
          <w:p>
            <w:r>
              <w:t>$91.164B</w:t>
            </w:r>
          </w:p>
        </w:tc>
        <w:tc>
          <w:tcPr>
            <w:tcW w:type="dxa" w:w="1104"/>
          </w:tcPr>
          <w:p>
            <w:r>
              <w:t>$0</w:t>
            </w:r>
          </w:p>
        </w:tc>
        <w:tc>
          <w:tcPr>
            <w:tcW w:type="dxa" w:w="1104"/>
          </w:tcPr>
          <w:p>
            <w:r>
              <w:t>$8.085B</w:t>
            </w:r>
          </w:p>
        </w:tc>
        <w:tc>
          <w:tcPr>
            <w:tcW w:type="dxa" w:w="1104"/>
          </w:tcPr>
          <w:p>
            <w:r>
              <w:t>$8.085B</w:t>
            </w:r>
          </w:p>
        </w:tc>
        <w:tc>
          <w:tcPr>
            <w:tcW w:type="dxa" w:w="1104"/>
          </w:tcPr>
          <w:p>
            <w:r>
              <w:t>AI extracted from june-30-2023-acfr.pdf. Analyst review required. Deterministic State/Commonwealth ACFR extraction from budgetary-basis General Fund language. Revenue collections 93,791,000,000; appropriation authorizations/expenditures 91,164,000,000; implied adjusted surplus/deficit 2,627,000,000; year-end General Fund balance 8,085,000,000. Amounts were stated in millions in the ACFR and converted to dollars. Analyst should reconcile budgetary basis against GAAP governmental fund statements before final approval.</w:t>
            </w:r>
          </w:p>
        </w:tc>
      </w:tr>
      <w:tr>
        <w:tc>
          <w:tcPr>
            <w:tcW w:type="dxa" w:w="1104"/>
          </w:tcPr>
          <w:p>
            <w:r>
              <w:t>2024</w:t>
            </w:r>
          </w:p>
        </w:tc>
        <w:tc>
          <w:tcPr>
            <w:tcW w:type="dxa" w:w="1104"/>
          </w:tcPr>
          <w:p>
            <w:r>
              <w:t>$93.003B</w:t>
            </w:r>
          </w:p>
        </w:tc>
        <w:tc>
          <w:tcPr>
            <w:tcW w:type="dxa" w:w="1104"/>
          </w:tcPr>
          <w:p>
            <w:r>
              <w:t>$93.003B</w:t>
            </w:r>
          </w:p>
        </w:tc>
        <w:tc>
          <w:tcPr>
            <w:tcW w:type="dxa" w:w="1104"/>
          </w:tcPr>
          <w:p>
            <w:r>
              <w:t>$0</w:t>
            </w:r>
          </w:p>
        </w:tc>
        <w:tc>
          <w:tcPr>
            <w:tcW w:type="dxa" w:w="1104"/>
          </w:tcPr>
          <w:p>
            <w:r>
              <w:t>$94.381B</w:t>
            </w:r>
          </w:p>
        </w:tc>
        <w:tc>
          <w:tcPr>
            <w:tcW w:type="dxa" w:w="1104"/>
          </w:tcPr>
          <w:p>
            <w:r>
              <w:t>$0</w:t>
            </w:r>
          </w:p>
        </w:tc>
        <w:tc>
          <w:tcPr>
            <w:tcW w:type="dxa" w:w="1104"/>
          </w:tcPr>
          <w:p>
            <w:r>
              <w:t>$6.632B</w:t>
            </w:r>
          </w:p>
        </w:tc>
        <w:tc>
          <w:tcPr>
            <w:tcW w:type="dxa" w:w="1104"/>
          </w:tcPr>
          <w:p>
            <w:r>
              <w:t>$6.632B</w:t>
            </w:r>
          </w:p>
        </w:tc>
        <w:tc>
          <w:tcPr>
            <w:tcW w:type="dxa" w:w="1104"/>
          </w:tcPr>
          <w:p>
            <w:r>
              <w:t>AI extracted from june-30-2024_acfr.pdf. Analyst review required. Deterministic State/Commonwealth ACFR extraction from budgetary-basis General Fund language. Revenue collections 93,003,000,000; appropriation authorizations/expenditures 94,381,000,000; implied adjusted surplus/deficit -1,378,000,000; year-end General Fund balance 6,632,000,000. Amounts were stated in millions in the ACFR and converted to dollars. Analyst should reconcile budgetary basis against GAAP governmental fund statements before final approval.</w:t>
            </w:r>
          </w:p>
        </w:tc>
      </w:tr>
      <w:tr>
        <w:tc>
          <w:tcPr>
            <w:tcW w:type="dxa" w:w="1104"/>
          </w:tcPr>
          <w:p>
            <w:r>
              <w:t>2025</w:t>
            </w:r>
          </w:p>
        </w:tc>
        <w:tc>
          <w:tcPr>
            <w:tcW w:type="dxa" w:w="1104"/>
          </w:tcPr>
          <w:p>
            <w:r>
              <w:t>$98.312B</w:t>
            </w:r>
          </w:p>
        </w:tc>
        <w:tc>
          <w:tcPr>
            <w:tcW w:type="dxa" w:w="1104"/>
          </w:tcPr>
          <w:p>
            <w:r>
              <w:t>$98.312B</w:t>
            </w:r>
          </w:p>
        </w:tc>
        <w:tc>
          <w:tcPr>
            <w:tcW w:type="dxa" w:w="1104"/>
          </w:tcPr>
          <w:p>
            <w:r>
              <w:t>$0</w:t>
            </w:r>
          </w:p>
        </w:tc>
        <w:tc>
          <w:tcPr>
            <w:tcW w:type="dxa" w:w="1104"/>
          </w:tcPr>
          <w:p>
            <w:r>
              <w:t>$101.978B</w:t>
            </w:r>
          </w:p>
        </w:tc>
        <w:tc>
          <w:tcPr>
            <w:tcW w:type="dxa" w:w="1104"/>
          </w:tcPr>
          <w:p>
            <w:r>
              <w:t>$0</w:t>
            </w:r>
          </w:p>
        </w:tc>
        <w:tc>
          <w:tcPr>
            <w:tcW w:type="dxa" w:w="1104"/>
          </w:tcPr>
          <w:p>
            <w:r>
              <w:t>$4.156B</w:t>
            </w:r>
          </w:p>
        </w:tc>
        <w:tc>
          <w:tcPr>
            <w:tcW w:type="dxa" w:w="1104"/>
          </w:tcPr>
          <w:p>
            <w:r>
              <w:t>$4.156B</w:t>
            </w:r>
          </w:p>
        </w:tc>
        <w:tc>
          <w:tcPr>
            <w:tcW w:type="dxa" w:w="1104"/>
          </w:tcPr>
          <w:p>
            <w:r>
              <w:t>AI extracted from june-30-2025_acfr.pdf. Analyst review required. Deterministic State/Commonwealth ACFR extraction from budgetary-basis General Fund language. Revenue collections 98,312,000,000; appropriation authorizations/expenditures 101,978,000,000; implied adjusted surplus/deficit -3,666,000,000; year-end General Fund balance 4,156,000,000. Amounts were stated in millions in the ACFR and converted to dollars. Analyst should reconcile budgetary basis against GAAP governmental fund statements before final approval.</w:t>
            </w:r>
          </w:p>
        </w:tc>
      </w:tr>
    </w:tbl>
    <w:p>
      <w:pPr>
        <w:pStyle w:val="Heading1"/>
      </w:pPr>
      <w:r>
        <w:t>Temporary Funding / Artificial Support Findings</w:t>
      </w:r>
    </w:p>
    <w:tbl>
      <w:tblPr>
        <w:tblStyle w:val="TableGrid"/>
        <w:tblW w:type="auto" w:w="0"/>
        <w:tblLook w:firstColumn="1" w:firstRow="1" w:lastColumn="0" w:lastRow="0" w:noHBand="0" w:noVBand="1" w:val="04A0"/>
      </w:tblPr>
      <w:tblGrid>
        <w:gridCol w:w="1656"/>
        <w:gridCol w:w="1656"/>
        <w:gridCol w:w="1656"/>
        <w:gridCol w:w="1656"/>
        <w:gridCol w:w="1656"/>
        <w:gridCol w:w="1656"/>
      </w:tblGrid>
      <w:tr>
        <w:tc>
          <w:tcPr>
            <w:tcW w:type="dxa" w:w="1656"/>
          </w:tcPr>
          <w:p>
            <w:r>
              <w:t>Term</w:t>
            </w:r>
          </w:p>
        </w:tc>
        <w:tc>
          <w:tcPr>
            <w:tcW w:type="dxa" w:w="1656"/>
          </w:tcPr>
          <w:p>
            <w:r>
              <w:t>Classification</w:t>
            </w:r>
          </w:p>
        </w:tc>
        <w:tc>
          <w:tcPr>
            <w:tcW w:type="dxa" w:w="1656"/>
          </w:tcPr>
          <w:p>
            <w:r>
              <w:t>Risk</w:t>
            </w:r>
          </w:p>
        </w:tc>
        <w:tc>
          <w:tcPr>
            <w:tcW w:type="dxa" w:w="1656"/>
          </w:tcPr>
          <w:p>
            <w:r>
              <w:t>Confidence</w:t>
            </w:r>
          </w:p>
        </w:tc>
        <w:tc>
          <w:tcPr>
            <w:tcW w:type="dxa" w:w="1656"/>
          </w:tcPr>
          <w:p>
            <w:r>
              <w:t>Source</w:t>
            </w:r>
          </w:p>
        </w:tc>
        <w:tc>
          <w:tcPr>
            <w:tcW w:type="dxa" w:w="1656"/>
          </w:tcPr>
          <w:p>
            <w:r>
              <w:t>Finding</w:t>
            </w:r>
          </w:p>
        </w:tc>
      </w:tr>
      <w:tr>
        <w:tc>
          <w:tcPr>
            <w:tcW w:type="dxa" w:w="1656"/>
          </w:tcPr>
          <w:p>
            <w:r>
              <w:t>Fiscal recovery funds</w:t>
            </w:r>
          </w:p>
        </w:tc>
        <w:tc>
          <w:tcPr>
            <w:tcW w:type="dxa" w:w="1656"/>
          </w:tcPr>
          <w:p>
            <w:r>
              <w:t>Unclear / Analyst Review Required</w:t>
            </w:r>
          </w:p>
        </w:tc>
        <w:tc>
          <w:tcPr>
            <w:tcW w:type="dxa" w:w="1656"/>
          </w:tcPr>
          <w:p>
            <w:r>
              <w:t>Medium</w:t>
            </w:r>
          </w:p>
        </w:tc>
        <w:tc>
          <w:tcPr>
            <w:tcW w:type="dxa" w:w="1656"/>
          </w:tcPr>
          <w:p>
            <w:r>
              <w:t>Medium</w:t>
            </w:r>
          </w:p>
        </w:tc>
        <w:tc>
          <w:tcPr>
            <w:tcW w:type="dxa" w:w="1656"/>
          </w:tcPr>
          <w:p>
            <w:r>
              <w:t>june-30-2023-acfr.pdf | Page 28</w:t>
            </w:r>
          </w:p>
        </w:tc>
        <w:tc>
          <w:tcPr>
            <w:tcW w:type="dxa" w:w="1656"/>
          </w:tcPr>
          <w:p>
            <w:r>
              <w:t>Additionally CFA, hada $718 increasein cashdueto transfers fromthe Local Shareand State Fiscal Recovery funds.</w:t>
            </w:r>
          </w:p>
        </w:tc>
      </w:tr>
      <w:tr>
        <w:tc>
          <w:tcPr>
            <w:tcW w:type="dxa" w:w="1656"/>
          </w:tcPr>
          <w:p>
            <w:r>
              <w:t>Budget stabilization</w:t>
            </w:r>
          </w:p>
        </w:tc>
        <w:tc>
          <w:tcPr>
            <w:tcW w:type="dxa" w:w="1656"/>
          </w:tcPr>
          <w:p>
            <w:r>
              <w:t>Unclear / Analyst Review Required</w:t>
            </w:r>
          </w:p>
        </w:tc>
        <w:tc>
          <w:tcPr>
            <w:tcW w:type="dxa" w:w="1656"/>
          </w:tcPr>
          <w:p>
            <w:r>
              <w:t>Medium</w:t>
            </w:r>
          </w:p>
        </w:tc>
        <w:tc>
          <w:tcPr>
            <w:tcW w:type="dxa" w:w="1656"/>
          </w:tcPr>
          <w:p>
            <w:r>
              <w:t>Medium</w:t>
            </w:r>
          </w:p>
        </w:tc>
        <w:tc>
          <w:tcPr>
            <w:tcW w:type="dxa" w:w="1656"/>
          </w:tcPr>
          <w:p>
            <w:r>
              <w:t>june-30-2023-acfr.pdf | Page 9</w:t>
            </w:r>
          </w:p>
        </w:tc>
        <w:tc>
          <w:tcPr>
            <w:tcW w:type="dxa" w:w="1656"/>
          </w:tcPr>
          <w:p>
            <w:r>
              <w:t>Fund Balance Increase/(Decrease) Last Five Fiscal Yearsat June 30 Fiscal year Balance/Deficit Increase/Decrease 2023 $ 8,085 $ 2,538 2022 (revised) 5,546 5,542 2021 (revised) 4 2,719 2020 (revised) (2,715) (2,745) 2019 (revised) 30 63 Duringthe fiscal year ended June 30, 2023, General Fund revenues exceeded General Fund expendituresby $2,627, resultingina partial transferofthe surplus, after prior year lapses, tothe Budget Stabilization Fundinthe amountof $898.</w:t>
            </w:r>
          </w:p>
        </w:tc>
      </w:tr>
      <w:tr>
        <w:tc>
          <w:tcPr>
            <w:tcW w:type="dxa" w:w="1656"/>
          </w:tcPr>
          <w:p>
            <w:r>
              <w:t>Reimbursement</w:t>
            </w:r>
          </w:p>
        </w:tc>
        <w:tc>
          <w:tcPr>
            <w:tcW w:type="dxa" w:w="1656"/>
          </w:tcPr>
          <w:p>
            <w:r>
              <w:t>Reimbursement Funding</w:t>
            </w:r>
          </w:p>
        </w:tc>
        <w:tc>
          <w:tcPr>
            <w:tcW w:type="dxa" w:w="1656"/>
          </w:tcPr>
          <w:p>
            <w:r>
              <w:t>High</w:t>
            </w:r>
          </w:p>
        </w:tc>
        <w:tc>
          <w:tcPr>
            <w:tcW w:type="dxa" w:w="1656"/>
          </w:tcPr>
          <w:p>
            <w:r>
              <w:t>Medium</w:t>
            </w:r>
          </w:p>
        </w:tc>
        <w:tc>
          <w:tcPr>
            <w:tcW w:type="dxa" w:w="1656"/>
          </w:tcPr>
          <w:p>
            <w:r>
              <w:t>june-30-2023-acfr.pdf | Page 25</w:t>
            </w:r>
          </w:p>
        </w:tc>
        <w:tc>
          <w:tcPr>
            <w:tcW w:type="dxa" w:w="1656"/>
          </w:tcPr>
          <w:p>
            <w:r>
              <w:t>Internal service fundsare designedto functionona cost-reimbursement basis, primarily providing benefitsto other funds, departmentsor agenciesofthe Commonwealth.</w:t>
            </w:r>
          </w:p>
        </w:tc>
      </w:tr>
      <w:tr>
        <w:tc>
          <w:tcPr>
            <w:tcW w:type="dxa" w:w="1656"/>
          </w:tcPr>
          <w:p>
            <w:r>
              <w:t>Rescue plan</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9</w:t>
            </w:r>
          </w:p>
        </w:tc>
        <w:tc>
          <w:tcPr>
            <w:tcW w:type="dxa" w:w="1656"/>
          </w:tcPr>
          <w:p>
            <w:r>
              <w:t>- LONG-TERM FINANCIAL PLANNING During fiscal year 2022-23, the Commonwealth continuedits commitmentto redevelopits fiscal strategiesto improvethe strengthofits General Fund, largelyby maximizingtheuseof federal funding opportunities provided throughthe CARES Actandthe American Rescue Plan Act (ARPA) and continued utilizationof other special fundsto meet critical programand administrative needs.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june-30-2023-acfr.pdf | Page 79</w:t>
            </w:r>
          </w:p>
        </w:tc>
        <w:tc>
          <w:tcPr>
            <w:tcW w:type="dxa" w:w="1656"/>
          </w:tcPr>
          <w:p>
            <w:r>
              <w:t>Revenuesare derived fromthe saleof lottery tickets, interest earnedon securitiesand deposits, unclaimed prize monies, and federal grants.</w:t>
            </w:r>
          </w:p>
        </w:tc>
      </w:tr>
      <w:tr>
        <w:tc>
          <w:tcPr>
            <w:tcW w:type="dxa" w:w="1656"/>
          </w:tcPr>
          <w:p>
            <w:r>
              <w:t>One-time</w:t>
            </w:r>
          </w:p>
        </w:tc>
        <w:tc>
          <w:tcPr>
            <w:tcW w:type="dxa" w:w="1656"/>
          </w:tcPr>
          <w:p>
            <w:r>
              <w:t>Temporary Funding</w:t>
            </w:r>
          </w:p>
        </w:tc>
        <w:tc>
          <w:tcPr>
            <w:tcW w:type="dxa" w:w="1656"/>
          </w:tcPr>
          <w:p>
            <w:r>
              <w:t>Medium</w:t>
            </w:r>
          </w:p>
        </w:tc>
        <w:tc>
          <w:tcPr>
            <w:tcW w:type="dxa" w:w="1656"/>
          </w:tcPr>
          <w:p>
            <w:r>
              <w:t>Medium</w:t>
            </w:r>
          </w:p>
        </w:tc>
        <w:tc>
          <w:tcPr>
            <w:tcW w:type="dxa" w:w="1656"/>
          </w:tcPr>
          <w:p>
            <w:r>
              <w:t>june-30-2023-acfr.pdf | Page 34</w:t>
            </w:r>
          </w:p>
        </w:tc>
        <w:tc>
          <w:tcPr>
            <w:tcW w:type="dxa" w:w="1656"/>
          </w:tcPr>
          <w:p>
            <w:r>
              <w:t>The decreaseindueto other fundswas largelyduetotheone-time supplemental reduction fromthe Motor License Fundto MANAGEMENT'S DISCUSSION AND ANALYSIS June 30, 2023 Commonwealthof Pennsylvania 32 Governor's Officeofthe Budgetwww.pa.govwww.budget.pa.gov --- Page 35 --- the Pennsylvania State Police (PSP) General Fund that occurredinthe prior yeardueto Act 1-Aof 2022.</w:t>
            </w:r>
          </w:p>
        </w:tc>
      </w:tr>
      <w:tr>
        <w:tc>
          <w:tcPr>
            <w:tcW w:type="dxa" w:w="1656"/>
          </w:tcPr>
          <w:p>
            <w:r>
              <w:t>ESSER</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32</w:t>
            </w:r>
          </w:p>
        </w:tc>
        <w:tc>
          <w:tcPr>
            <w:tcW w:type="dxa" w:w="1656"/>
          </w:tcPr>
          <w:p>
            <w:r>
              <w:t>Additionally, the Departmentof Education experienceda decreasein federal fundingof $689 forthe ESSER, GEER, IDEA, and others.</w:t>
            </w:r>
          </w:p>
        </w:tc>
      </w:tr>
      <w:tr>
        <w:tc>
          <w:tcPr>
            <w:tcW w:type="dxa" w:w="1656"/>
          </w:tcPr>
          <w:p>
            <w:r>
              <w:t>American Rescue Plan</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9</w:t>
            </w:r>
          </w:p>
        </w:tc>
        <w:tc>
          <w:tcPr>
            <w:tcW w:type="dxa" w:w="1656"/>
          </w:tcPr>
          <w:p>
            <w:r>
              <w:t>- LONG-TERM FINANCIAL PLANNING During fiscal year 2022-23, the Commonwealth continuedits commitmentto redevelopits fiscal strategiesto improvethe strengthofits General Fund, largelyby maximizingtheuseof federal funding opportunities provided throughthe CARES Actandthe American Rescue Plan Act (ARPA) and continued utilizationof other special fundsto meet critical programand administrative needs.</w:t>
            </w:r>
          </w:p>
        </w:tc>
      </w:tr>
      <w:tr>
        <w:tc>
          <w:tcPr>
            <w:tcW w:type="dxa" w:w="1656"/>
          </w:tcPr>
          <w:p>
            <w:r>
              <w:t>ARPA</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9</w:t>
            </w:r>
          </w:p>
        </w:tc>
        <w:tc>
          <w:tcPr>
            <w:tcW w:type="dxa" w:w="1656"/>
          </w:tcPr>
          <w:p>
            <w:r>
              <w:t>- LONG-TERM FINANCIAL PLANNING During fiscal year 2022-23, the Commonwealth continuedits commitmentto redevelopits fiscal strategiesto improvethe strengthofits General Fund, largelyby maximizingtheuseof federal funding opportunities provided throughthe CARES Actandthe American Rescue Plan Act (ARPA) and continued utilizationof other special fundsto meet critical programand administrative needs.</w:t>
            </w:r>
          </w:p>
        </w:tc>
      </w:tr>
      <w:tr>
        <w:tc>
          <w:tcPr>
            <w:tcW w:type="dxa" w:w="1656"/>
          </w:tcPr>
          <w:p>
            <w:r>
              <w:t>CARES</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9</w:t>
            </w:r>
          </w:p>
        </w:tc>
        <w:tc>
          <w:tcPr>
            <w:tcW w:type="dxa" w:w="1656"/>
          </w:tcPr>
          <w:p>
            <w:r>
              <w:t>- LONG-TERM FINANCIAL PLANNING During fiscal year 2022-23, the Commonwealth continuedits commitmentto redevelopits fiscal strategiesto improvethe strengthofits General Fund, largelyby maximizingtheuseof federal funding opportunities provided throughthe CARES Actandthe American Rescue Plan Act (ARPA) and continued utilizationof other special fundsto meet critical programand administrative needs.</w:t>
            </w:r>
          </w:p>
        </w:tc>
      </w:tr>
      <w:tr>
        <w:tc>
          <w:tcPr>
            <w:tcW w:type="dxa" w:w="1656"/>
          </w:tcPr>
          <w:p>
            <w:r>
              <w:t>Coronavirus</w:t>
            </w:r>
          </w:p>
        </w:tc>
        <w:tc>
          <w:tcPr>
            <w:tcW w:type="dxa" w:w="1656"/>
          </w:tcPr>
          <w:p>
            <w:r>
              <w:t>Temporary Funding</w:t>
            </w:r>
          </w:p>
        </w:tc>
        <w:tc>
          <w:tcPr>
            <w:tcW w:type="dxa" w:w="1656"/>
          </w:tcPr>
          <w:p>
            <w:r>
              <w:t>Medium</w:t>
            </w:r>
          </w:p>
        </w:tc>
        <w:tc>
          <w:tcPr>
            <w:tcW w:type="dxa" w:w="1656"/>
          </w:tcPr>
          <w:p>
            <w:r>
              <w:t>High</w:t>
            </w:r>
          </w:p>
        </w:tc>
        <w:tc>
          <w:tcPr>
            <w:tcW w:type="dxa" w:w="1656"/>
          </w:tcPr>
          <w:p>
            <w:r>
              <w:t>june-30-2023-acfr.pdf | Page 34</w:t>
            </w:r>
          </w:p>
        </w:tc>
        <w:tc>
          <w:tcPr>
            <w:tcW w:type="dxa" w:w="1656"/>
          </w:tcPr>
          <w:p>
            <w:r>
              <w:t>In May 2021, the Commonwealth received $7,291 of federal Coronavirus State Fiscal Recovery Fund (SFR) monies, which were provided underthe ARPA.</w:t>
            </w:r>
          </w:p>
        </w:tc>
      </w:tr>
      <w:tr>
        <w:tc>
          <w:tcPr>
            <w:tcW w:type="dxa" w:w="1656"/>
          </w:tcPr>
          <w:p>
            <w:r>
              <w:t>COVID</w:t>
            </w:r>
          </w:p>
        </w:tc>
        <w:tc>
          <w:tcPr>
            <w:tcW w:type="dxa" w:w="1656"/>
          </w:tcPr>
          <w:p>
            <w:r>
              <w:t>Operating Support</w:t>
            </w:r>
          </w:p>
        </w:tc>
        <w:tc>
          <w:tcPr>
            <w:tcW w:type="dxa" w:w="1656"/>
          </w:tcPr>
          <w:p>
            <w:r>
              <w:t>High</w:t>
            </w:r>
          </w:p>
        </w:tc>
        <w:tc>
          <w:tcPr>
            <w:tcW w:type="dxa" w:w="1656"/>
          </w:tcPr>
          <w:p>
            <w:r>
              <w:t>High</w:t>
            </w:r>
          </w:p>
        </w:tc>
        <w:tc>
          <w:tcPr>
            <w:tcW w:type="dxa" w:w="1656"/>
          </w:tcPr>
          <w:p>
            <w:r>
              <w:t>june-30-2023-acfr.pdf | Page 31</w:t>
            </w:r>
          </w:p>
        </w:tc>
        <w:tc>
          <w:tcPr>
            <w:tcW w:type="dxa" w:w="1656"/>
          </w:tcPr>
          <w:p>
            <w:r>
              <w:t>The Departmentof Human Servicessawan increasein COVID funding relatedtothe medical assistance program, buta portionof thatwas offsetbythe Supplemental Nutrition Assistance Program (SNAP), which provides nutrition benefitsto supplementthe food budgetof needy families, whichsawa decreasein funding overthe prior yearas COVID emergency benefits ended.</w:t>
            </w:r>
          </w:p>
        </w:tc>
      </w:tr>
      <w:tr>
        <w:tc>
          <w:tcPr>
            <w:tcW w:type="dxa" w:w="1656"/>
          </w:tcPr>
          <w:p>
            <w:r>
              <w:t>Fiscal recovery funds</w:t>
            </w:r>
          </w:p>
        </w:tc>
        <w:tc>
          <w:tcPr>
            <w:tcW w:type="dxa" w:w="1656"/>
          </w:tcPr>
          <w:p>
            <w:r>
              <w:t>Temporary Funding</w:t>
            </w:r>
          </w:p>
        </w:tc>
        <w:tc>
          <w:tcPr>
            <w:tcW w:type="dxa" w:w="1656"/>
          </w:tcPr>
          <w:p>
            <w:r>
              <w:t>Medium</w:t>
            </w:r>
          </w:p>
        </w:tc>
        <w:tc>
          <w:tcPr>
            <w:tcW w:type="dxa" w:w="1656"/>
          </w:tcPr>
          <w:p>
            <w:r>
              <w:t>High</w:t>
            </w:r>
          </w:p>
        </w:tc>
        <w:tc>
          <w:tcPr>
            <w:tcW w:type="dxa" w:w="1656"/>
          </w:tcPr>
          <w:p>
            <w:r>
              <w:t>june-30-2024_acfr.pdf | Page 47</w:t>
            </w:r>
          </w:p>
        </w:tc>
        <w:tc>
          <w:tcPr>
            <w:tcW w:type="dxa" w:w="1656"/>
          </w:tcPr>
          <w:p>
            <w:r>
              <w:t>The American Rescue Plan Actof 2021 (ARPA) provided stateand local governments with additional pandemic reliefinthe formof Stateand Local Fiscal Recovery Funds (SLFRF), which allow governments' broad discretionin mitigatingthe pandemic impacts, includingthe government'sown revenue losses.</w:t>
            </w:r>
          </w:p>
        </w:tc>
      </w:tr>
      <w:tr>
        <w:tc>
          <w:tcPr>
            <w:tcW w:type="dxa" w:w="1656"/>
          </w:tcPr>
          <w:p>
            <w:r>
              <w:t>Budget stabilization</w:t>
            </w:r>
          </w:p>
        </w:tc>
        <w:tc>
          <w:tcPr>
            <w:tcW w:type="dxa" w:w="1656"/>
          </w:tcPr>
          <w:p>
            <w:r>
              <w:t>Unclear / Analyst Review Required</w:t>
            </w:r>
          </w:p>
        </w:tc>
        <w:tc>
          <w:tcPr>
            <w:tcW w:type="dxa" w:w="1656"/>
          </w:tcPr>
          <w:p>
            <w:r>
              <w:t>Medium</w:t>
            </w:r>
          </w:p>
        </w:tc>
        <w:tc>
          <w:tcPr>
            <w:tcW w:type="dxa" w:w="1656"/>
          </w:tcPr>
          <w:p>
            <w:r>
              <w:t>Medium</w:t>
            </w:r>
          </w:p>
        </w:tc>
        <w:tc>
          <w:tcPr>
            <w:tcW w:type="dxa" w:w="1656"/>
          </w:tcPr>
          <w:p>
            <w:r>
              <w:t>june-30-2024_acfr.pdf | Page 9</w:t>
            </w:r>
          </w:p>
        </w:tc>
        <w:tc>
          <w:tcPr>
            <w:tcW w:type="dxa" w:w="1656"/>
          </w:tcPr>
          <w:p>
            <w:r>
              <w:t>After accountingforthe prior year's remaining surplus, $737 was transferredtothe Budget Stabilization Fund.</w:t>
            </w:r>
          </w:p>
        </w:tc>
      </w:tr>
      <w:tr>
        <w:tc>
          <w:tcPr>
            <w:tcW w:type="dxa" w:w="1656"/>
          </w:tcPr>
          <w:p>
            <w:r>
              <w:t>Reimbursement</w:t>
            </w:r>
          </w:p>
        </w:tc>
        <w:tc>
          <w:tcPr>
            <w:tcW w:type="dxa" w:w="1656"/>
          </w:tcPr>
          <w:p>
            <w:r>
              <w:t>Reimbursement Funding</w:t>
            </w:r>
          </w:p>
        </w:tc>
        <w:tc>
          <w:tcPr>
            <w:tcW w:type="dxa" w:w="1656"/>
          </w:tcPr>
          <w:p>
            <w:r>
              <w:t>High</w:t>
            </w:r>
          </w:p>
        </w:tc>
        <w:tc>
          <w:tcPr>
            <w:tcW w:type="dxa" w:w="1656"/>
          </w:tcPr>
          <w:p>
            <w:r>
              <w:t>Medium</w:t>
            </w:r>
          </w:p>
        </w:tc>
        <w:tc>
          <w:tcPr>
            <w:tcW w:type="dxa" w:w="1656"/>
          </w:tcPr>
          <w:p>
            <w:r>
              <w:t>june-30-2024_acfr.pdf | Page 25</w:t>
            </w:r>
          </w:p>
        </w:tc>
        <w:tc>
          <w:tcPr>
            <w:tcW w:type="dxa" w:w="1656"/>
          </w:tcPr>
          <w:p>
            <w:r>
              <w:t>Internal service fundsare designedto functionona cost-reimbursement basis, primarily providing benefitsto other funds, departments, or agenciesofthe Commonwealth.</w:t>
            </w:r>
          </w:p>
        </w:tc>
      </w:tr>
      <w:tr>
        <w:tc>
          <w:tcPr>
            <w:tcW w:type="dxa" w:w="1656"/>
          </w:tcPr>
          <w:p>
            <w:r>
              <w:t>Rescue plan</w:t>
            </w:r>
          </w:p>
        </w:tc>
        <w:tc>
          <w:tcPr>
            <w:tcW w:type="dxa" w:w="1656"/>
          </w:tcPr>
          <w:p>
            <w:r>
              <w:t>Capital-Only Funding</w:t>
            </w:r>
          </w:p>
        </w:tc>
        <w:tc>
          <w:tcPr>
            <w:tcW w:type="dxa" w:w="1656"/>
          </w:tcPr>
          <w:p>
            <w:r>
              <w:t>Low</w:t>
            </w:r>
          </w:p>
        </w:tc>
        <w:tc>
          <w:tcPr>
            <w:tcW w:type="dxa" w:w="1656"/>
          </w:tcPr>
          <w:p>
            <w:r>
              <w:t>High</w:t>
            </w:r>
          </w:p>
        </w:tc>
        <w:tc>
          <w:tcPr>
            <w:tcW w:type="dxa" w:w="1656"/>
          </w:tcPr>
          <w:p>
            <w:r>
              <w:t>june-30-2024_acfr.pdf | Page 10</w:t>
            </w:r>
          </w:p>
        </w:tc>
        <w:tc>
          <w:tcPr>
            <w:tcW w:type="dxa" w:w="1656"/>
          </w:tcPr>
          <w:p>
            <w:r>
              <w:t>LONG-TERM FINANCIAL PLANNING During fiscal year 2023-24, the Commonwealth continuedits commitmentto redevelopits fiscal strategiesto improvethe strengthofits General Fund, largelyby maximizingtheuseof federal funding opportunities provided throughthe Infrastructure Investmentand Jobs Act (IIJA), the Inflation Reduction Act (IRA) and remaining funds provided throughthe American Rescue Plan Act (ARPA), while also continuingto utilize other special fundsto meet critical programand administrative needs.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june-30-2024_acfr.pdf | Page 34</w:t>
            </w:r>
          </w:p>
        </w:tc>
        <w:tc>
          <w:tcPr>
            <w:tcW w:type="dxa" w:w="1656"/>
          </w:tcPr>
          <w:p>
            <w:r>
              <w:t>This decreasewas partially offsetbya $190 increasein federal grants collectedin advance, whichwas largely comprisedof $176 issuedbythe Officeof Surface Mining Reclamationand Enforcementfor abandoned coal mine reclamation projectstobe administeredbythe Departmentof Environmental Protection.</w:t>
            </w:r>
          </w:p>
        </w:tc>
      </w:tr>
      <w:tr>
        <w:tc>
          <w:tcPr>
            <w:tcW w:type="dxa" w:w="1656"/>
          </w:tcPr>
          <w:p>
            <w:r>
              <w:t>One-time</w:t>
            </w:r>
          </w:p>
        </w:tc>
        <w:tc>
          <w:tcPr>
            <w:tcW w:type="dxa" w:w="1656"/>
          </w:tcPr>
          <w:p>
            <w:r>
              <w:t>Temporary Funding</w:t>
            </w:r>
          </w:p>
        </w:tc>
        <w:tc>
          <w:tcPr>
            <w:tcW w:type="dxa" w:w="1656"/>
          </w:tcPr>
          <w:p>
            <w:r>
              <w:t>Medium</w:t>
            </w:r>
          </w:p>
        </w:tc>
        <w:tc>
          <w:tcPr>
            <w:tcW w:type="dxa" w:w="1656"/>
          </w:tcPr>
          <w:p>
            <w:r>
              <w:t>Medium</w:t>
            </w:r>
          </w:p>
        </w:tc>
        <w:tc>
          <w:tcPr>
            <w:tcW w:type="dxa" w:w="1656"/>
          </w:tcPr>
          <w:p>
            <w:r>
              <w:t>june-30-2024_acfr.pdf | Page 201</w:t>
            </w:r>
          </w:p>
        </w:tc>
        <w:tc>
          <w:tcPr>
            <w:tcW w:type="dxa" w:w="1656"/>
          </w:tcPr>
          <w:p>
            <w:r>
              <w:t>(3) Act 2019-105 allows eligible employersto makeaone-time lump-sum paymentof their respective unfunded liability.</w:t>
            </w:r>
          </w:p>
        </w:tc>
      </w:tr>
      <w:tr>
        <w:tc>
          <w:tcPr>
            <w:tcW w:type="dxa" w:w="1656"/>
          </w:tcPr>
          <w:p>
            <w:r>
              <w:t>Emergency relief</w:t>
            </w:r>
          </w:p>
        </w:tc>
        <w:tc>
          <w:tcPr>
            <w:tcW w:type="dxa" w:w="1656"/>
          </w:tcPr>
          <w:p>
            <w:r>
              <w:t>Temporary Funding</w:t>
            </w:r>
          </w:p>
        </w:tc>
        <w:tc>
          <w:tcPr>
            <w:tcW w:type="dxa" w:w="1656"/>
          </w:tcPr>
          <w:p>
            <w:r>
              <w:t>Medium</w:t>
            </w:r>
          </w:p>
        </w:tc>
        <w:tc>
          <w:tcPr>
            <w:tcW w:type="dxa" w:w="1656"/>
          </w:tcPr>
          <w:p>
            <w:r>
              <w:t>High</w:t>
            </w:r>
          </w:p>
        </w:tc>
        <w:tc>
          <w:tcPr>
            <w:tcW w:type="dxa" w:w="1656"/>
          </w:tcPr>
          <w:p>
            <w:r>
              <w:t>june-30-2024_acfr.pdf | Page 28</w:t>
            </w:r>
          </w:p>
        </w:tc>
        <w:tc>
          <w:tcPr>
            <w:tcW w:type="dxa" w:w="1656"/>
          </w:tcPr>
          <w:p>
            <w:r>
              <w:t>The increaseis primarily attributabletoa $1,257 increasein payments owedtothe Departmentof Education fromthe Federal Governmentfor COVID expenditures associated withthe Elementaryand Secondary School Emergency Relief (ESSER) and Governor's Emergency Education Relief (GEER) programs, whicharesetto expireinthe fallof 2024.</w:t>
            </w:r>
          </w:p>
        </w:tc>
      </w:tr>
      <w:tr>
        <w:tc>
          <w:tcPr>
            <w:tcW w:type="dxa" w:w="1656"/>
          </w:tcPr>
          <w:p>
            <w:r>
              <w:t>ESSER</w:t>
            </w:r>
          </w:p>
        </w:tc>
        <w:tc>
          <w:tcPr>
            <w:tcW w:type="dxa" w:w="1656"/>
          </w:tcPr>
          <w:p>
            <w:r>
              <w:t>Temporary Funding</w:t>
            </w:r>
          </w:p>
        </w:tc>
        <w:tc>
          <w:tcPr>
            <w:tcW w:type="dxa" w:w="1656"/>
          </w:tcPr>
          <w:p>
            <w:r>
              <w:t>Medium</w:t>
            </w:r>
          </w:p>
        </w:tc>
        <w:tc>
          <w:tcPr>
            <w:tcW w:type="dxa" w:w="1656"/>
          </w:tcPr>
          <w:p>
            <w:r>
              <w:t>High</w:t>
            </w:r>
          </w:p>
        </w:tc>
        <w:tc>
          <w:tcPr>
            <w:tcW w:type="dxa" w:w="1656"/>
          </w:tcPr>
          <w:p>
            <w:r>
              <w:t>june-30-2024_acfr.pdf | Page 28</w:t>
            </w:r>
          </w:p>
        </w:tc>
        <w:tc>
          <w:tcPr>
            <w:tcW w:type="dxa" w:w="1656"/>
          </w:tcPr>
          <w:p>
            <w:r>
              <w:t>The increaseis primarily attributabletoa $1,257 increasein payments owedtothe Departmentof Education fromthe Federal Governmentfor COVID expenditures associated withthe Elementaryand Secondary School Emergency Relief (ESSER) and Governor's Emergency Education Relief (GEER) programs, whicharesetto expireinthe fallof 2024.</w:t>
            </w:r>
          </w:p>
        </w:tc>
      </w:tr>
      <w:tr>
        <w:tc>
          <w:tcPr>
            <w:tcW w:type="dxa" w:w="1656"/>
          </w:tcPr>
          <w:p>
            <w:r>
              <w:t>American Rescue Plan</w:t>
            </w:r>
          </w:p>
        </w:tc>
        <w:tc>
          <w:tcPr>
            <w:tcW w:type="dxa" w:w="1656"/>
          </w:tcPr>
          <w:p>
            <w:r>
              <w:t>Capital-Only Funding</w:t>
            </w:r>
          </w:p>
        </w:tc>
        <w:tc>
          <w:tcPr>
            <w:tcW w:type="dxa" w:w="1656"/>
          </w:tcPr>
          <w:p>
            <w:r>
              <w:t>Low</w:t>
            </w:r>
          </w:p>
        </w:tc>
        <w:tc>
          <w:tcPr>
            <w:tcW w:type="dxa" w:w="1656"/>
          </w:tcPr>
          <w:p>
            <w:r>
              <w:t>High</w:t>
            </w:r>
          </w:p>
        </w:tc>
        <w:tc>
          <w:tcPr>
            <w:tcW w:type="dxa" w:w="1656"/>
          </w:tcPr>
          <w:p>
            <w:r>
              <w:t>june-30-2024_acfr.pdf | Page 10</w:t>
            </w:r>
          </w:p>
        </w:tc>
        <w:tc>
          <w:tcPr>
            <w:tcW w:type="dxa" w:w="1656"/>
          </w:tcPr>
          <w:p>
            <w:r>
              <w:t>LONG-TERM FINANCIAL PLANNING During fiscal year 2023-24, the Commonwealth continuedits commitmentto redevelopits fiscal strategiesto improvethe strengthofits General Fund, largelyby maximizingtheuseof federal funding opportunities provided throughthe Infrastructure Investmentand Jobs Act (IIJA), the Inflation Reduction Act (IRA) and remaining funds provided throughthe American Rescue Plan Act (ARPA), while also continuingto utilize other special fundsto meet critical programand administrative needs.</w:t>
            </w:r>
          </w:p>
        </w:tc>
      </w:tr>
      <w:tr>
        <w:tc>
          <w:tcPr>
            <w:tcW w:type="dxa" w:w="1656"/>
          </w:tcPr>
          <w:p>
            <w:r>
              <w:t>ARPA</w:t>
            </w:r>
          </w:p>
        </w:tc>
        <w:tc>
          <w:tcPr>
            <w:tcW w:type="dxa" w:w="1656"/>
          </w:tcPr>
          <w:p>
            <w:r>
              <w:t>Capital-Only Funding</w:t>
            </w:r>
          </w:p>
        </w:tc>
        <w:tc>
          <w:tcPr>
            <w:tcW w:type="dxa" w:w="1656"/>
          </w:tcPr>
          <w:p>
            <w:r>
              <w:t>Low</w:t>
            </w:r>
          </w:p>
        </w:tc>
        <w:tc>
          <w:tcPr>
            <w:tcW w:type="dxa" w:w="1656"/>
          </w:tcPr>
          <w:p>
            <w:r>
              <w:t>High</w:t>
            </w:r>
          </w:p>
        </w:tc>
        <w:tc>
          <w:tcPr>
            <w:tcW w:type="dxa" w:w="1656"/>
          </w:tcPr>
          <w:p>
            <w:r>
              <w:t>june-30-2024_acfr.pdf | Page 10</w:t>
            </w:r>
          </w:p>
        </w:tc>
        <w:tc>
          <w:tcPr>
            <w:tcW w:type="dxa" w:w="1656"/>
          </w:tcPr>
          <w:p>
            <w:r>
              <w:t>LONG-TERM FINANCIAL PLANNING During fiscal year 2023-24, the Commonwealth continuedits commitmentto redevelopits fiscal strategiesto improvethe strengthofits General Fund, largelyby maximizingtheuseof federal funding opportunities provided throughthe Infrastructure Investmentand Jobs Act (IIJA), the Inflation Reduction Act (IRA) and remaining funds provided throughthe American Rescue Plan Act (ARPA), while also continuingto utilize other special fundsto meet critical programand administrative needs.</w:t>
            </w:r>
          </w:p>
        </w:tc>
      </w:tr>
      <w:tr>
        <w:tc>
          <w:tcPr>
            <w:tcW w:type="dxa" w:w="1656"/>
          </w:tcPr>
          <w:p>
            <w:r>
              <w:t>Coronavirus</w:t>
            </w:r>
          </w:p>
        </w:tc>
        <w:tc>
          <w:tcPr>
            <w:tcW w:type="dxa" w:w="1656"/>
          </w:tcPr>
          <w:p>
            <w:r>
              <w:t>Temporary Funding</w:t>
            </w:r>
          </w:p>
        </w:tc>
        <w:tc>
          <w:tcPr>
            <w:tcW w:type="dxa" w:w="1656"/>
          </w:tcPr>
          <w:p>
            <w:r>
              <w:t>Medium</w:t>
            </w:r>
          </w:p>
        </w:tc>
        <w:tc>
          <w:tcPr>
            <w:tcW w:type="dxa" w:w="1656"/>
          </w:tcPr>
          <w:p>
            <w:r>
              <w:t>High</w:t>
            </w:r>
          </w:p>
        </w:tc>
        <w:tc>
          <w:tcPr>
            <w:tcW w:type="dxa" w:w="1656"/>
          </w:tcPr>
          <w:p>
            <w:r>
              <w:t>june-30-2024_acfr.pdf | Page 34</w:t>
            </w:r>
          </w:p>
        </w:tc>
        <w:tc>
          <w:tcPr>
            <w:tcW w:type="dxa" w:w="1656"/>
          </w:tcPr>
          <w:p>
            <w:r>
              <w:t>In May 2021, the Commonwealth received $7,291 of federal Coronavirus State Fiscal Recovery Fund (SFR) monies, which were provided underthe ARPA.</w:t>
            </w:r>
          </w:p>
        </w:tc>
      </w:tr>
      <w:tr>
        <w:tc>
          <w:tcPr>
            <w:tcW w:type="dxa" w:w="1656"/>
          </w:tcPr>
          <w:p>
            <w:r>
              <w:t>COVID</w:t>
            </w:r>
          </w:p>
        </w:tc>
        <w:tc>
          <w:tcPr>
            <w:tcW w:type="dxa" w:w="1656"/>
          </w:tcPr>
          <w:p>
            <w:r>
              <w:t>Temporary Funding</w:t>
            </w:r>
          </w:p>
        </w:tc>
        <w:tc>
          <w:tcPr>
            <w:tcW w:type="dxa" w:w="1656"/>
          </w:tcPr>
          <w:p>
            <w:r>
              <w:t>Medium</w:t>
            </w:r>
          </w:p>
        </w:tc>
        <w:tc>
          <w:tcPr>
            <w:tcW w:type="dxa" w:w="1656"/>
          </w:tcPr>
          <w:p>
            <w:r>
              <w:t>High</w:t>
            </w:r>
          </w:p>
        </w:tc>
        <w:tc>
          <w:tcPr>
            <w:tcW w:type="dxa" w:w="1656"/>
          </w:tcPr>
          <w:p>
            <w:r>
              <w:t>june-30-2024_acfr.pdf | Page 28</w:t>
            </w:r>
          </w:p>
        </w:tc>
        <w:tc>
          <w:tcPr>
            <w:tcW w:type="dxa" w:w="1656"/>
          </w:tcPr>
          <w:p>
            <w:r>
              <w:t>The increaseis primarily attributabletoa $1,257 increasein payments owedtothe Departmentof Education fromthe Federal Governmentfor COVID expenditures associated withthe Elementaryand Secondary School Emergency Relief (ESSER) and Governor's Emergency Education Relief (GEER) programs, whicharesetto expireinthe fallof 2024.</w:t>
            </w:r>
          </w:p>
        </w:tc>
      </w:tr>
      <w:tr>
        <w:tc>
          <w:tcPr>
            <w:tcW w:type="dxa" w:w="1656"/>
          </w:tcPr>
          <w:p>
            <w:r>
              <w:t>Fiscal recovery funds</w:t>
            </w:r>
          </w:p>
        </w:tc>
        <w:tc>
          <w:tcPr>
            <w:tcW w:type="dxa" w:w="1656"/>
          </w:tcPr>
          <w:p>
            <w:r>
              <w:t>Temporary Funding</w:t>
            </w:r>
          </w:p>
        </w:tc>
        <w:tc>
          <w:tcPr>
            <w:tcW w:type="dxa" w:w="1656"/>
          </w:tcPr>
          <w:p>
            <w:r>
              <w:t>Medium</w:t>
            </w:r>
          </w:p>
        </w:tc>
        <w:tc>
          <w:tcPr>
            <w:tcW w:type="dxa" w:w="1656"/>
          </w:tcPr>
          <w:p>
            <w:r>
              <w:t>High</w:t>
            </w:r>
          </w:p>
        </w:tc>
        <w:tc>
          <w:tcPr>
            <w:tcW w:type="dxa" w:w="1656"/>
          </w:tcPr>
          <w:p>
            <w:r>
              <w:t>june-30-2025_acfr.pdf | Page 173</w:t>
            </w:r>
          </w:p>
        </w:tc>
        <w:tc>
          <w:tcPr>
            <w:tcW w:type="dxa" w:w="1656"/>
          </w:tcPr>
          <w:p>
            <w:r>
              <w:t>The American Rescue Plan Actof 2021 provided $7,291,328 fromthe Stateand Local Fiscal Recovery Funds (SLFRF) tothe Commonwealth.</w:t>
            </w:r>
          </w:p>
        </w:tc>
      </w:tr>
    </w:tbl>
    <w:p>
      <w:pPr>
        <w:pStyle w:val="Heading1"/>
      </w:pPr>
      <w:r>
        <w:t>Documents Reviewed</w:t>
      </w:r>
    </w:p>
    <w:p>
      <w:r>
        <w:t>Audited Financials / ACFR - june-30-2023-acfr.pdf - uploaded 2026-06-02T16:13:32.247524</w:t>
      </w:r>
    </w:p>
    <w:p>
      <w:r>
        <w:t>Audited Financials / ACFR - june-30-2024_acfr.pdf - uploaded 2026-06-02T16:05:28.470674</w:t>
      </w:r>
    </w:p>
    <w:p>
      <w:r>
        <w:t>Audited Financials / ACFR - june-30-2025_acfr.pdf - uploaded 2026-06-02T15:59:28.307679</w:t>
      </w:r>
    </w:p>
    <w:p>
      <w:r>
        <w:t>Audited Financials / ACFR - june-30-2021-acfr.pdf - uploaded 2026-06-02T15:59:03.502273</w:t>
      </w:r>
    </w:p>
    <w:p>
      <w:r>
        <w:t>Audited Financials / ACFR - june-30-2022-acfr.pdf - uploaded 2026-06-02T15:57:48.246351</w:t>
      </w:r>
    </w:p>
    <w:p>
      <w:r>
        <w:t>Official Statement / Offering Memorandum - preliminary_official_statement_commonwealth_2026_go-_final_posted.pdf - uploaded 2026-06-02T15:10:48.137474</w:t>
      </w:r>
    </w:p>
    <w:p>
      <w:r>
        <w:t>Duplicate document entries suppressed in this report: 4.</w:t>
      </w:r>
    </w:p>
    <w:p>
      <w:pPr>
        <w:pStyle w:val="Heading1"/>
      </w:pPr>
      <w:r>
        <w:t>Workflow / Approval</w:t>
      </w:r>
    </w:p>
    <w:p>
      <w:r>
        <w:t>Workflow Stage: Draft</w:t>
      </w:r>
    </w:p>
    <w:p>
      <w:r>
        <w:t>Mentor Status: Not Submitted</w:t>
      </w:r>
    </w:p>
    <w:p>
      <w:r>
        <w:t>Junior Analyst: MZ Test Pen</w:t>
      </w:r>
    </w:p>
    <w:p>
      <w:r>
        <w:t>Senior Mentor: Not assigned</w:t>
      </w:r>
    </w:p>
    <w:p>
      <w:r>
        <w:t>Approved By: Not approved</w:t>
      </w:r>
    </w:p>
    <w:p>
      <w:r>
        <w:t>Approved At: Not approved</w:t>
      </w:r>
    </w:p>
    <w:p>
      <w:r>
        <w:t>Locked At: Not locked</w:t>
      </w:r>
    </w:p>
    <w:p>
      <w:r>
        <w:br/>
        <w:t>This report is an internal credit analysis aid and does not constitute a rating. Final investment decisions require analyst review and approval.</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Confidential - 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