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MuniMetrics Credit Analysis Report</w:t>
      </w:r>
    </w:p>
    <w:p>
      <w:r>
        <w:t>Issuer: State of Illinois</w:t>
      </w:r>
    </w:p>
    <w:p>
      <w:r>
        <w:t>Bond / Issue: General Obligation Bonds / State Credit Review</w:t>
      </w:r>
    </w:p>
    <w:p>
      <w:r>
        <w:t>CUSIP: Not provided</w:t>
      </w:r>
    </w:p>
    <w:p>
      <w:r>
        <w:t>Sector: State Government</w:t>
      </w:r>
    </w:p>
    <w:p>
      <w:r>
        <w:t>Bond Type: General Obligation</w:t>
      </w:r>
    </w:p>
    <w:p>
      <w:r>
        <w:t>State: Illinois</w:t>
      </w:r>
    </w:p>
    <w:p>
      <w:r>
        <w:t>Analyst: MZ Junior</w:t>
      </w:r>
    </w:p>
    <w:p>
      <w:r>
        <w:t>Status: Preliminary</w:t>
      </w:r>
    </w:p>
    <w:p>
      <w:r>
        <w:t>System Recommendation: Buy-Leaning / Analyst Review Required | Score: 83</w:t>
      </w:r>
    </w:p>
    <w:p>
      <w:r>
        <w:t>Recommendation Basis: Strong rule-based score, but unresolved temporary-funding or document-mining flags require analyst validation before a final Buy.</w:t>
      </w:r>
    </w:p>
    <w:p>
      <w:r>
        <w:t>Analyst Recommendation: Buy-Leaning / Analyst Review Required</w:t>
      </w:r>
    </w:p>
    <w:p>
      <w:pPr>
        <w:pStyle w:val="Heading1"/>
      </w:pPr>
      <w:r>
        <w:t>Investment Thesis</w:t>
      </w:r>
    </w:p>
    <w:p>
      <w:r>
        <w:t>Recommendation: **Watch**</w:t>
      </w:r>
    </w:p>
    <w:p>
      <w:r>
        <w:t>## Core Thesis:</w:t>
        <w:br/>
        <w:t>State of Illinois General Obligation Bonds screen as **Buy-leaning but not yet final-approval ready** based on the rule-based credit score of **83** and a reported fiscal 2024 surplus of **$3.138 billion** on **$74.749 billion** of total revenue and **$71.611 billion** of total expenses. Reported unrestricted reserves/fund balance were **$4.224 billion**, and the annual trend row shows **$0 temporary funding**, producing a **0.0% temporary-funding-to-revenue ratio** and no adjustment between reported and adjusted surplus. However, the review remains at **Draft / Preliminary** stage, only **one year** of financial trend data is provided, debt service is shown as **$0** in the supplied row, and several document-mining findings remain unresolved, including a system red flag that a **high-risk temporary funding reference requires analyst review**. Until those items are validated, the appropriate internal stance is **Watch** rather than final Buy.</w:t>
      </w:r>
    </w:p>
    <w:p>
      <w:r>
        <w:t>## Why This Bond May Be Attractive:</w:t>
        <w:br/>
        <w:t>- **General obligation bond type** provides a broad state credit framework for review.</w:t>
        <w:br/>
        <w:t>- Fiscal 2024 reported results show a **$3.138 billion surplus**, with adjusted surplus also **$3.138 billion**.</w:t>
        <w:br/>
        <w:t>- Temporary funding dependency is currently measured as **Low**, with **$0 temporary funding** in the annual financial trend row.</w:t>
        <w:br/>
        <w:t>- Temporary funding equals **0.0% of revenue**, indicating no quantified reliance on temporary sources in the provided financial data.</w:t>
        <w:br/>
        <w:t>- Reported unrestricted reserves/fund balance totaled **$4.224 billion** in fiscal 2024.</w:t>
        <w:br/>
        <w:t>- Rule-based score is relatively strong at **83**, with high component scores for:</w:t>
        <w:br/>
        <w:t xml:space="preserve">  - **Financial Trend Strength: 25**</w:t>
        <w:br/>
        <w:t xml:space="preserve">  - **Temporary Funding Dependency: 20**</w:t>
        <w:br/>
        <w:t xml:space="preserve">  - **Debt Burden / Coverage: 15**</w:t>
        <w:br/>
        <w:t xml:space="preserve">  - **Economic Resilience: 14**</w:t>
      </w:r>
    </w:p>
    <w:p>
      <w:r>
        <w:t>## Why This Bond Requires Caution:</w:t>
        <w:br/>
        <w:t>- The rule-based recommendation is **Watch**, not final Buy, because analyst validation is required.</w:t>
        <w:br/>
        <w:t>- The system specifically flags: **“High-risk temporary funding reference requires analyst review.”**</w:t>
        <w:br/>
        <w:t>- Only **one fiscal year** of annual financial trend data is provided, limiting trend analysis.</w:t>
        <w:br/>
        <w:t>- Debt service is listed as **$0** in the fiscal 2024 trend row, so debt-service coverage cannot be evaluated from the supplied data.</w:t>
        <w:br/>
        <w:t>- Several temporary/artificial funding findings are unapproved and require analyst review.</w:t>
        <w:br/>
        <w:t>- Governance / disclosure quality score is relatively low at **4**, and bond structure protections score is **5**.</w:t>
        <w:br/>
        <w:t>- The review is still **Preliminary**, in **Draft** workflow stage, with analyst recommendation marked **To Be Determined**.</w:t>
      </w:r>
    </w:p>
    <w:p>
      <w:r>
        <w:t>## Temporary Funding / Artificial Support Analysis:</w:t>
        <w:br/>
        <w:t>Based on the annual financial trend data, temporary funding does **not currently appear to distort reported financial strength**, because fiscal 2024 temporary funding is listed as **$0**, and the reported surplus and adjusted surplus are both **$3.138 billion**.</w:t>
      </w:r>
    </w:p>
    <w:p>
      <w:r>
        <w:t>However, the document-mining results include unresolved findings that need analyst validation:</w:t>
      </w:r>
    </w:p>
    <w:p>
      <w:r>
        <w:t>- **Temporary Funding / Operating Support Indicators**</w:t>
        <w:br/>
        <w:t xml:space="preserve">  - **CARES**: The ACFR excerpt states that operating grants and contributions decreased mostly due to a decrease in Federal CARES Act funds as remaining funds were spent down. This supports the need to determine whether prior operating support has rolled off and whether current-year operations remain structurally balanced without it.</w:t>
        <w:br/>
        <w:t xml:space="preserve">  - **ESSER**: Classified as Temporary Funding with medium risk and high confidence, but the extracted finding text does not clearly quantify an operating revenue impact in the supplied data.</w:t>
      </w:r>
    </w:p>
    <w:p>
      <w:r>
        <w:t>- **Capital-Only / Restricted or Non-Recurring Items**</w:t>
        <w:br/>
        <w:t xml:space="preserve">  - **Provider Relief Fund / Healthcare Provider Relief Fund**: Classified as **Capital-Only Funding** with **High** risk and medium confidence. The excerpt references funds included in budgetary-basis reporting, but no quantified impact on operating results is provided.</w:t>
      </w:r>
    </w:p>
    <w:p>
      <w:r>
        <w:t>- **Reimbursement Funding**</w:t>
        <w:br/>
        <w:t xml:space="preserve">  - **Reimbursement**: The finding relates to internal service funds accounting for services provided to state agencies on a reimbursement basis. This may not represent artificial operating support, but it is classified as **High** risk and requires analyst review.</w:t>
      </w:r>
    </w:p>
    <w:p>
      <w:r>
        <w:t>- **Unclear Items Requiring Analyst Review**</w:t>
        <w:br/>
        <w:t xml:space="preserve">  - **Budget stabilization**: The Budget Stabilization Account is included within the General Fund structure, but the supplied excerpt does not quantify any draw or use.</w:t>
        <w:br/>
        <w:t xml:space="preserve">  - **State aid**: The Common School Account provides funding for elementary and secondary education agencies, including General State Aid, but no temporary-funding impact is quantified.</w:t>
        <w:br/>
        <w:t xml:space="preserve">  - **Federal grant**: The Water Revolving Fund increase was attributed mainly to increased federal grant revenue; the operating versus capital nature should be confirmed.</w:t>
        <w:br/>
        <w:t xml:space="preserve">  - **COVID**: Fiscal 2023 included a **$450 million** appropriation as a loan from the General Revenue Account to the Unemployment Compensation Trust Fund to aid repayment of federal advances related to the COVID-19 pandemic. This is not quantified in fiscal 2024 operating results in the supplied data.</w:t>
      </w:r>
    </w:p>
    <w:p>
      <w:r>
        <w:t>## Reported vs. Adjusted Credit View:</w:t>
        <w:br/>
        <w:t>There is **no numerical difference** between the reported and adjusted credit view in the supplied data:</w:t>
      </w:r>
    </w:p>
    <w:p>
      <w:r>
        <w:t>- Reported fiscal 2024 surplus: **$3.138 billion**</w:t>
        <w:br/>
        <w:t>- Adjusted fiscal 2024 surplus: **$3.138 billion**</w:t>
        <w:br/>
        <w:t>- Temporary funding: **$0**</w:t>
        <w:br/>
        <w:t>- Temporary funding as a percentage of revenue: **0.0%**</w:t>
      </w:r>
    </w:p>
    <w:p>
      <w:r>
        <w:t>The rule-based model therefore does not currently reduce fiscal 2024 results for temporary or artificial support. The main credit distinction is qualitative: the reported financial position appears solid based on the supplied fiscal 2024 row, but unresolved document-mining flags prevent final approval until the analyst confirms that temporary, capital-only, reimbursement, and unclear items do not materially inflate recurring operating performance.</w:t>
      </w:r>
    </w:p>
    <w:p>
      <w:r>
        <w:t>## Key Follow-Up Before Final Approval:</w:t>
        <w:br/>
        <w:t>- Confirm whether the **$0 temporary funding** entry in the fiscal 2024 annual trend row is complete and analyst-approved.</w:t>
        <w:br/>
        <w:t>- Validate each unapproved temporary/artificial funding finding, especially:</w:t>
        <w:br/>
        <w:t xml:space="preserve">  - CARES spend-down impact</w:t>
        <w:br/>
        <w:t xml:space="preserve">  - ESSER classification and relevance</w:t>
        <w:br/>
        <w:t xml:space="preserve">  - Provider Relief / Healthcare Provider Relief Fund treatment</w:t>
        <w:br/>
        <w:t xml:space="preserve">  - Reimbursement funding classification</w:t>
        <w:br/>
        <w:t xml:space="preserve">  - Budget Stabilization Account usage</w:t>
        <w:br/>
        <w:t xml:space="preserve">  - Federal grant treatment in the Water Revolving Fund</w:t>
        <w:br/>
        <w:t xml:space="preserve">  - COVID-related Unemployment Compensation Trust Fund loan context</w:t>
        <w:br/>
        <w:t>- Determine whether any of the flagged items affected recurring operating revenue or only capital, restricted, reimbursement, or non-operating funds.</w:t>
        <w:br/>
        <w:t>- Obtain or populate debt service data, since fiscal 2024 debt service is currently shown as **$0**.</w:t>
        <w:br/>
        <w:t>- Add additional fiscal years if available to assess trend durability beyond the single 2024 data point.</w:t>
        <w:br/>
        <w:t>- Complete senior analyst review given the review status is **Preliminary / Draft** and mentor status is **Not Submitted**.</w:t>
      </w:r>
    </w:p>
    <w:p>
      <w:r>
        <w:t>## Final Analyst Note:</w:t>
        <w:br/>
        <w:t>The credit screens positively on fiscal 2024 reported and adjusted results, with a **$3.138 billion surplus**, **$4.224 billion** of reserves/fund balance, and **0.0% quantified temporary funding dependency**. However, unresolved document-mining flags and missing debt-service context keep the thesis at **Watch** pending analyst validation.</w:t>
      </w:r>
    </w:p>
    <w:p>
      <w:pPr>
        <w:pStyle w:val="Heading1"/>
      </w:pPr>
      <w:r>
        <w:t>Score Components</w:t>
      </w:r>
    </w:p>
    <w:tbl>
      <w:tblPr>
        <w:tblStyle w:val="TableGrid"/>
        <w:tblW w:type="auto" w:w="0"/>
        <w:tblLook w:firstColumn="1" w:firstRow="1" w:lastColumn="0" w:lastRow="0" w:noHBand="0" w:noVBand="1" w:val="04A0"/>
      </w:tblPr>
      <w:tblGrid>
        <w:gridCol w:w="4968"/>
        <w:gridCol w:w="4968"/>
      </w:tblGrid>
      <w:tr>
        <w:tc>
          <w:tcPr>
            <w:tcW w:type="dxa" w:w="4968"/>
          </w:tcPr>
          <w:p>
            <w:r>
              <w:t>Category</w:t>
            </w:r>
          </w:p>
        </w:tc>
        <w:tc>
          <w:tcPr>
            <w:tcW w:type="dxa" w:w="4968"/>
          </w:tcPr>
          <w:p>
            <w:r>
              <w:t>Score</w:t>
            </w:r>
          </w:p>
        </w:tc>
      </w:tr>
      <w:tr>
        <w:tc>
          <w:tcPr>
            <w:tcW w:type="dxa" w:w="4968"/>
          </w:tcPr>
          <w:p>
            <w:r>
              <w:t>Financial Trend Strength</w:t>
            </w:r>
          </w:p>
        </w:tc>
        <w:tc>
          <w:tcPr>
            <w:tcW w:type="dxa" w:w="4968"/>
          </w:tcPr>
          <w:p>
            <w:r>
              <w:t>25</w:t>
            </w:r>
          </w:p>
        </w:tc>
      </w:tr>
      <w:tr>
        <w:tc>
          <w:tcPr>
            <w:tcW w:type="dxa" w:w="4968"/>
          </w:tcPr>
          <w:p>
            <w:r>
              <w:t>Economic Resilience</w:t>
            </w:r>
          </w:p>
        </w:tc>
        <w:tc>
          <w:tcPr>
            <w:tcW w:type="dxa" w:w="4968"/>
          </w:tcPr>
          <w:p>
            <w:r>
              <w:t>14</w:t>
            </w:r>
          </w:p>
        </w:tc>
      </w:tr>
      <w:tr>
        <w:tc>
          <w:tcPr>
            <w:tcW w:type="dxa" w:w="4968"/>
          </w:tcPr>
          <w:p>
            <w:r>
              <w:t>Debt Burden / Coverage</w:t>
            </w:r>
          </w:p>
        </w:tc>
        <w:tc>
          <w:tcPr>
            <w:tcW w:type="dxa" w:w="4968"/>
          </w:tcPr>
          <w:p>
            <w:r>
              <w:t>15</w:t>
            </w:r>
          </w:p>
        </w:tc>
      </w:tr>
      <w:tr>
        <w:tc>
          <w:tcPr>
            <w:tcW w:type="dxa" w:w="4968"/>
          </w:tcPr>
          <w:p>
            <w:r>
              <w:t>Temporary Funding Dependency</w:t>
            </w:r>
          </w:p>
        </w:tc>
        <w:tc>
          <w:tcPr>
            <w:tcW w:type="dxa" w:w="4968"/>
          </w:tcPr>
          <w:p>
            <w:r>
              <w:t>20</w:t>
            </w:r>
          </w:p>
        </w:tc>
      </w:tr>
      <w:tr>
        <w:tc>
          <w:tcPr>
            <w:tcW w:type="dxa" w:w="4968"/>
          </w:tcPr>
          <w:p>
            <w:r>
              <w:t>Governance / Disclosure Quality</w:t>
            </w:r>
          </w:p>
        </w:tc>
        <w:tc>
          <w:tcPr>
            <w:tcW w:type="dxa" w:w="4968"/>
          </w:tcPr>
          <w:p>
            <w:r>
              <w:t>4</w:t>
            </w:r>
          </w:p>
        </w:tc>
      </w:tr>
      <w:tr>
        <w:tc>
          <w:tcPr>
            <w:tcW w:type="dxa" w:w="4968"/>
          </w:tcPr>
          <w:p>
            <w:r>
              <w:t>Bond Structure Protections</w:t>
            </w:r>
          </w:p>
        </w:tc>
        <w:tc>
          <w:tcPr>
            <w:tcW w:type="dxa" w:w="4968"/>
          </w:tcPr>
          <w:p>
            <w:r>
              <w:t>5</w:t>
            </w:r>
          </w:p>
        </w:tc>
      </w:tr>
    </w:tbl>
    <w:p>
      <w:pPr>
        <w:pStyle w:val="Heading1"/>
      </w:pPr>
      <w:r>
        <w:t>Annual Financial Trend</w:t>
      </w:r>
    </w:p>
    <w:tbl>
      <w:tblPr>
        <w:tblStyle w:val="TableGrid"/>
        <w:tblW w:type="auto" w:w="0"/>
        <w:tblLook w:firstColumn="1" w:firstRow="1" w:lastColumn="0" w:lastRow="0" w:noHBand="0" w:noVBand="1" w:val="04A0"/>
      </w:tblPr>
      <w:tblGrid>
        <w:gridCol w:w="1104"/>
        <w:gridCol w:w="1104"/>
        <w:gridCol w:w="1104"/>
        <w:gridCol w:w="1104"/>
        <w:gridCol w:w="1104"/>
        <w:gridCol w:w="1104"/>
        <w:gridCol w:w="1104"/>
        <w:gridCol w:w="1104"/>
        <w:gridCol w:w="1104"/>
      </w:tblGrid>
      <w:tr>
        <w:tc>
          <w:tcPr>
            <w:tcW w:type="dxa" w:w="1104"/>
          </w:tcPr>
          <w:p>
            <w:r>
              <w:t>Fiscal Year</w:t>
            </w:r>
          </w:p>
        </w:tc>
        <w:tc>
          <w:tcPr>
            <w:tcW w:type="dxa" w:w="1104"/>
          </w:tcPr>
          <w:p>
            <w:r>
              <w:t>Total Revenue</w:t>
            </w:r>
          </w:p>
        </w:tc>
        <w:tc>
          <w:tcPr>
            <w:tcW w:type="dxa" w:w="1104"/>
          </w:tcPr>
          <w:p>
            <w:r>
              <w:t>Recurring Revenue</w:t>
            </w:r>
          </w:p>
        </w:tc>
        <w:tc>
          <w:tcPr>
            <w:tcW w:type="dxa" w:w="1104"/>
          </w:tcPr>
          <w:p>
            <w:r>
              <w:t>Temporary Funding</w:t>
            </w:r>
          </w:p>
        </w:tc>
        <w:tc>
          <w:tcPr>
            <w:tcW w:type="dxa" w:w="1104"/>
          </w:tcPr>
          <w:p>
            <w:r>
              <w:t>Expenses</w:t>
            </w:r>
          </w:p>
        </w:tc>
        <w:tc>
          <w:tcPr>
            <w:tcW w:type="dxa" w:w="1104"/>
          </w:tcPr>
          <w:p>
            <w:r>
              <w:t>Debt Service</w:t>
            </w:r>
          </w:p>
        </w:tc>
        <w:tc>
          <w:tcPr>
            <w:tcW w:type="dxa" w:w="1104"/>
          </w:tcPr>
          <w:p>
            <w:r>
              <w:t>Fund Balance</w:t>
            </w:r>
          </w:p>
        </w:tc>
        <w:tc>
          <w:tcPr>
            <w:tcW w:type="dxa" w:w="1104"/>
          </w:tcPr>
          <w:p>
            <w:r>
              <w:t>Unrestricted Reserves</w:t>
            </w:r>
          </w:p>
        </w:tc>
        <w:tc>
          <w:tcPr>
            <w:tcW w:type="dxa" w:w="1104"/>
          </w:tcPr>
          <w:p>
            <w:r>
              <w:t>Notes</w:t>
            </w:r>
          </w:p>
        </w:tc>
      </w:tr>
      <w:tr>
        <w:tc>
          <w:tcPr>
            <w:tcW w:type="dxa" w:w="1104"/>
          </w:tcPr>
          <w:p>
            <w:r>
              <w:t>2024</w:t>
            </w:r>
          </w:p>
        </w:tc>
        <w:tc>
          <w:tcPr>
            <w:tcW w:type="dxa" w:w="1104"/>
          </w:tcPr>
          <w:p>
            <w:r>
              <w:t>$74.749B</w:t>
            </w:r>
          </w:p>
        </w:tc>
        <w:tc>
          <w:tcPr>
            <w:tcW w:type="dxa" w:w="1104"/>
          </w:tcPr>
          <w:p>
            <w:r>
              <w:t>$74.749B</w:t>
            </w:r>
          </w:p>
        </w:tc>
        <w:tc>
          <w:tcPr>
            <w:tcW w:type="dxa" w:w="1104"/>
          </w:tcPr>
          <w:p>
            <w:r>
              <w:t>$0</w:t>
            </w:r>
          </w:p>
        </w:tc>
        <w:tc>
          <w:tcPr>
            <w:tcW w:type="dxa" w:w="1104"/>
          </w:tcPr>
          <w:p>
            <w:r>
              <w:t>$71.611B</w:t>
            </w:r>
          </w:p>
        </w:tc>
        <w:tc>
          <w:tcPr>
            <w:tcW w:type="dxa" w:w="1104"/>
          </w:tcPr>
          <w:p>
            <w:r>
              <w:t>$0</w:t>
            </w:r>
          </w:p>
        </w:tc>
        <w:tc>
          <w:tcPr>
            <w:tcW w:type="dxa" w:w="1104"/>
          </w:tcPr>
          <w:p>
            <w:r>
              <w:t>$4.224B</w:t>
            </w:r>
          </w:p>
        </w:tc>
        <w:tc>
          <w:tcPr>
            <w:tcW w:type="dxa" w:w="1104"/>
          </w:tcPr>
          <w:p>
            <w:r>
              <w:t>$4.224B</w:t>
            </w:r>
          </w:p>
        </w:tc>
        <w:tc>
          <w:tcPr>
            <w:tcW w:type="dxa" w:w="1104"/>
          </w:tcPr>
          <w:p>
            <w:r/>
          </w:p>
        </w:tc>
      </w:tr>
    </w:tbl>
    <w:p>
      <w:pPr>
        <w:pStyle w:val="Heading1"/>
      </w:pPr>
      <w:r>
        <w:t>Temporary Funding / Artificial Support Findings</w:t>
      </w:r>
    </w:p>
    <w:tbl>
      <w:tblPr>
        <w:tblStyle w:val="TableGrid"/>
        <w:tblW w:type="auto" w:w="0"/>
        <w:tblLook w:firstColumn="1" w:firstRow="1" w:lastColumn="0" w:lastRow="0" w:noHBand="0" w:noVBand="1" w:val="04A0"/>
      </w:tblPr>
      <w:tblGrid>
        <w:gridCol w:w="1656"/>
        <w:gridCol w:w="1656"/>
        <w:gridCol w:w="1656"/>
        <w:gridCol w:w="1656"/>
        <w:gridCol w:w="1656"/>
        <w:gridCol w:w="1656"/>
      </w:tblGrid>
      <w:tr>
        <w:tc>
          <w:tcPr>
            <w:tcW w:type="dxa" w:w="1656"/>
          </w:tcPr>
          <w:p>
            <w:r>
              <w:t>Term</w:t>
            </w:r>
          </w:p>
        </w:tc>
        <w:tc>
          <w:tcPr>
            <w:tcW w:type="dxa" w:w="1656"/>
          </w:tcPr>
          <w:p>
            <w:r>
              <w:t>Classification</w:t>
            </w:r>
          </w:p>
        </w:tc>
        <w:tc>
          <w:tcPr>
            <w:tcW w:type="dxa" w:w="1656"/>
          </w:tcPr>
          <w:p>
            <w:r>
              <w:t>Risk</w:t>
            </w:r>
          </w:p>
        </w:tc>
        <w:tc>
          <w:tcPr>
            <w:tcW w:type="dxa" w:w="1656"/>
          </w:tcPr>
          <w:p>
            <w:r>
              <w:t>Confidence</w:t>
            </w:r>
          </w:p>
        </w:tc>
        <w:tc>
          <w:tcPr>
            <w:tcW w:type="dxa" w:w="1656"/>
          </w:tcPr>
          <w:p>
            <w:r>
              <w:t>Source</w:t>
            </w:r>
          </w:p>
        </w:tc>
        <w:tc>
          <w:tcPr>
            <w:tcW w:type="dxa" w:w="1656"/>
          </w:tcPr>
          <w:p>
            <w:r>
              <w:t>Finding</w:t>
            </w:r>
          </w:p>
        </w:tc>
      </w:tr>
      <w:tr>
        <w:tc>
          <w:tcPr>
            <w:tcW w:type="dxa" w:w="1656"/>
          </w:tcPr>
          <w:p>
            <w:r>
              <w:t>Provider Relief Fund</w:t>
            </w:r>
          </w:p>
        </w:tc>
        <w:tc>
          <w:tcPr>
            <w:tcW w:type="dxa" w:w="1656"/>
          </w:tcPr>
          <w:p>
            <w:r>
              <w:t>Capital-Only Funding</w:t>
            </w:r>
          </w:p>
        </w:tc>
        <w:tc>
          <w:tcPr>
            <w:tcW w:type="dxa" w:w="1656"/>
          </w:tcPr>
          <w:p>
            <w:r>
              <w:t>High</w:t>
            </w:r>
          </w:p>
        </w:tc>
        <w:tc>
          <w:tcPr>
            <w:tcW w:type="dxa" w:w="1656"/>
          </w:tcPr>
          <w:p>
            <w:r>
              <w:t>Medium</w:t>
            </w:r>
          </w:p>
        </w:tc>
        <w:tc>
          <w:tcPr>
            <w:tcW w:type="dxa" w:w="1656"/>
          </w:tcPr>
          <w:p>
            <w:r>
              <w:t>ACFR_Final_2024_-_Bookmarked.pdf | Page 290</w:t>
            </w:r>
          </w:p>
        </w:tc>
        <w:tc>
          <w:tcPr>
            <w:tcW w:type="dxa" w:w="1656"/>
          </w:tcPr>
          <w:p>
            <w:r>
              <w:t>Belowisa summaryof those differences: GAAP Basis Budgetary Basis Includes General Fund All General Funds Highway Funds: 1 fund includedasan other highway fund Special State Funds: Income Tax Refund Fund County Provider Trust Fund Long-Term Care Provider Fund Hospital Provider Fund Fundfor Illinois' Future Public Transportation Fund Drug Rebate Fund Healthcare Provider Relief Fundand 69 funds includedas other special state funds Debt Service Funds: Capital Projects Fund Federal Trust Funds: State CURE Fundand 2 funds includedas other federal trust funds State Trust Funds: State Employees' Defer</w:t>
            </w:r>
          </w:p>
        </w:tc>
      </w:tr>
      <w:tr>
        <w:tc>
          <w:tcPr>
            <w:tcW w:type="dxa" w:w="1656"/>
          </w:tcPr>
          <w:p>
            <w:r>
              <w:t>Budget stabilization</w:t>
            </w:r>
          </w:p>
        </w:tc>
        <w:tc>
          <w:tcPr>
            <w:tcW w:type="dxa" w:w="1656"/>
          </w:tcPr>
          <w:p>
            <w:r>
              <w:t>Unclear / Analyst Review Required</w:t>
            </w:r>
          </w:p>
        </w:tc>
        <w:tc>
          <w:tcPr>
            <w:tcW w:type="dxa" w:w="1656"/>
          </w:tcPr>
          <w:p>
            <w:r>
              <w:t>Medium</w:t>
            </w:r>
          </w:p>
        </w:tc>
        <w:tc>
          <w:tcPr>
            <w:tcW w:type="dxa" w:w="1656"/>
          </w:tcPr>
          <w:p>
            <w:r>
              <w:t>Medium</w:t>
            </w:r>
          </w:p>
        </w:tc>
        <w:tc>
          <w:tcPr>
            <w:tcW w:type="dxa" w:w="1656"/>
          </w:tcPr>
          <w:p>
            <w:r>
              <w:t>ACFR_Final_2024_-_Bookmarked.pdf | Page 11</w:t>
            </w:r>
          </w:p>
        </w:tc>
        <w:tc>
          <w:tcPr>
            <w:tcW w:type="dxa" w:w="1656"/>
          </w:tcPr>
          <w:p>
            <w:r>
              <w:t>Major fundsarethe focusofthe State’s financial statementsand includethe General Fund (includingthe General Revenue Account, the Education Assistance Account, the Common School Account, the Advancementof Education Account, the Commitmentto Human Services Account, andthe Budget Stabilization Account), the Unemployment Compensation Trust Fund, andthe Water Revolving Fund.</w:t>
            </w:r>
          </w:p>
        </w:tc>
      </w:tr>
      <w:tr>
        <w:tc>
          <w:tcPr>
            <w:tcW w:type="dxa" w:w="1656"/>
          </w:tcPr>
          <w:p>
            <w:r>
              <w:t>Reimbursement</w:t>
            </w:r>
          </w:p>
        </w:tc>
        <w:tc>
          <w:tcPr>
            <w:tcW w:type="dxa" w:w="1656"/>
          </w:tcPr>
          <w:p>
            <w:r>
              <w:t>Reimbursement Funding</w:t>
            </w:r>
          </w:p>
        </w:tc>
        <w:tc>
          <w:tcPr>
            <w:tcW w:type="dxa" w:w="1656"/>
          </w:tcPr>
          <w:p>
            <w:r>
              <w:t>High</w:t>
            </w:r>
          </w:p>
        </w:tc>
        <w:tc>
          <w:tcPr>
            <w:tcW w:type="dxa" w:w="1656"/>
          </w:tcPr>
          <w:p>
            <w:r>
              <w:t>Medium</w:t>
            </w:r>
          </w:p>
        </w:tc>
        <w:tc>
          <w:tcPr>
            <w:tcW w:type="dxa" w:w="1656"/>
          </w:tcPr>
          <w:p>
            <w:r>
              <w:t>ACFR_Final_2024_-_Bookmarked.pdf | Page 65</w:t>
            </w:r>
          </w:p>
        </w:tc>
        <w:tc>
          <w:tcPr>
            <w:tcW w:type="dxa" w:w="1656"/>
          </w:tcPr>
          <w:p>
            <w:r>
              <w:t>Internal Service – These funds accountfor data processing, printing, fleet management, telecommunications, professional services, wo rkers’ compensation claims, medicaland dental benefitsfor State employees, and other services providedto agenciesofthe Stateona reimbursement basis.</w:t>
            </w:r>
          </w:p>
        </w:tc>
      </w:tr>
      <w:tr>
        <w:tc>
          <w:tcPr>
            <w:tcW w:type="dxa" w:w="1656"/>
          </w:tcPr>
          <w:p>
            <w:r>
              <w:t>State aid</w:t>
            </w:r>
          </w:p>
        </w:tc>
        <w:tc>
          <w:tcPr>
            <w:tcW w:type="dxa" w:w="1656"/>
          </w:tcPr>
          <w:p>
            <w:r>
              <w:t>Unclear / Analyst Review Required</w:t>
            </w:r>
          </w:p>
        </w:tc>
        <w:tc>
          <w:tcPr>
            <w:tcW w:type="dxa" w:w="1656"/>
          </w:tcPr>
          <w:p>
            <w:r>
              <w:t>Medium</w:t>
            </w:r>
          </w:p>
        </w:tc>
        <w:tc>
          <w:tcPr>
            <w:tcW w:type="dxa" w:w="1656"/>
          </w:tcPr>
          <w:p>
            <w:r>
              <w:t>Medium</w:t>
            </w:r>
          </w:p>
        </w:tc>
        <w:tc>
          <w:tcPr>
            <w:tcW w:type="dxa" w:w="1656"/>
          </w:tcPr>
          <w:p>
            <w:r>
              <w:t>ACFR_Final_2024_-_Bookmarked.pdf | Page 203</w:t>
            </w:r>
          </w:p>
        </w:tc>
        <w:tc>
          <w:tcPr>
            <w:tcW w:type="dxa" w:w="1656"/>
          </w:tcPr>
          <w:p>
            <w:r>
              <w:t>Common School Account--to provide fundingfor elementaryand secondary education agencies including General State Aid, School District Consolidation Incentives, and operational fundingof Educational Services Regions.</w:t>
            </w:r>
          </w:p>
        </w:tc>
      </w:tr>
      <w:tr>
        <w:tc>
          <w:tcPr>
            <w:tcW w:type="dxa" w:w="1656"/>
          </w:tcPr>
          <w:p>
            <w:r>
              <w:t>Federal grant</w:t>
            </w:r>
          </w:p>
        </w:tc>
        <w:tc>
          <w:tcPr>
            <w:tcW w:type="dxa" w:w="1656"/>
          </w:tcPr>
          <w:p>
            <w:r>
              <w:t>Unclear / Analyst Review Required</w:t>
            </w:r>
          </w:p>
        </w:tc>
        <w:tc>
          <w:tcPr>
            <w:tcW w:type="dxa" w:w="1656"/>
          </w:tcPr>
          <w:p>
            <w:r>
              <w:t>Medium</w:t>
            </w:r>
          </w:p>
        </w:tc>
        <w:tc>
          <w:tcPr>
            <w:tcW w:type="dxa" w:w="1656"/>
          </w:tcPr>
          <w:p>
            <w:r>
              <w:t>Medium</w:t>
            </w:r>
          </w:p>
        </w:tc>
        <w:tc>
          <w:tcPr>
            <w:tcW w:type="dxa" w:w="1656"/>
          </w:tcPr>
          <w:p>
            <w:r>
              <w:t>ACFR_Final_2024_-_Bookmarked.pdf | Page 32</w:t>
            </w:r>
          </w:p>
        </w:tc>
        <w:tc>
          <w:tcPr>
            <w:tcW w:type="dxa" w:w="1656"/>
          </w:tcPr>
          <w:p>
            <w:r>
              <w:t>This increasewas attributed mainlytoa $261 increaseinthe Water Re volving Fundduetoa significant increaseis federal grant revenue.</w:t>
            </w:r>
          </w:p>
        </w:tc>
      </w:tr>
      <w:tr>
        <w:tc>
          <w:tcPr>
            <w:tcW w:type="dxa" w:w="1656"/>
          </w:tcPr>
          <w:p>
            <w:r>
              <w:t>ESSER</w:t>
            </w:r>
          </w:p>
        </w:tc>
        <w:tc>
          <w:tcPr>
            <w:tcW w:type="dxa" w:w="1656"/>
          </w:tcPr>
          <w:p>
            <w:r>
              <w:t>Temporary Funding</w:t>
            </w:r>
          </w:p>
        </w:tc>
        <w:tc>
          <w:tcPr>
            <w:tcW w:type="dxa" w:w="1656"/>
          </w:tcPr>
          <w:p>
            <w:r>
              <w:t>Medium</w:t>
            </w:r>
          </w:p>
        </w:tc>
        <w:tc>
          <w:tcPr>
            <w:tcW w:type="dxa" w:w="1656"/>
          </w:tcPr>
          <w:p>
            <w:r>
              <w:t>High</w:t>
            </w:r>
          </w:p>
        </w:tc>
        <w:tc>
          <w:tcPr>
            <w:tcW w:type="dxa" w:w="1656"/>
          </w:tcPr>
          <w:p>
            <w:r>
              <w:t>ACFR_Final_2024_-_Bookmarked.pdf | Page 138</w:t>
            </w:r>
          </w:p>
        </w:tc>
        <w:tc>
          <w:tcPr>
            <w:tcW w:type="dxa" w:w="1656"/>
          </w:tcPr>
          <w:p>
            <w:r>
              <w:t>Annual automatic increases equaltothe lesserof 3% orthe annual changeinthe Consumer Price Indexare provided.</w:t>
            </w:r>
          </w:p>
        </w:tc>
      </w:tr>
      <w:tr>
        <w:tc>
          <w:tcPr>
            <w:tcW w:type="dxa" w:w="1656"/>
          </w:tcPr>
          <w:p>
            <w:r>
              <w:t>CARES</w:t>
            </w:r>
          </w:p>
        </w:tc>
        <w:tc>
          <w:tcPr>
            <w:tcW w:type="dxa" w:w="1656"/>
          </w:tcPr>
          <w:p>
            <w:r>
              <w:t>Temporary Funding</w:t>
            </w:r>
          </w:p>
        </w:tc>
        <w:tc>
          <w:tcPr>
            <w:tcW w:type="dxa" w:w="1656"/>
          </w:tcPr>
          <w:p>
            <w:r>
              <w:t>Medium</w:t>
            </w:r>
          </w:p>
        </w:tc>
        <w:tc>
          <w:tcPr>
            <w:tcW w:type="dxa" w:w="1656"/>
          </w:tcPr>
          <w:p>
            <w:r>
              <w:t>High</w:t>
            </w:r>
          </w:p>
        </w:tc>
        <w:tc>
          <w:tcPr>
            <w:tcW w:type="dxa" w:w="1656"/>
          </w:tcPr>
          <w:p>
            <w:r>
              <w:t>ACFR_Final_2024_-_Bookmarked.pdf | Page 31</w:t>
            </w:r>
          </w:p>
        </w:tc>
        <w:tc>
          <w:tcPr>
            <w:tcW w:type="dxa" w:w="1656"/>
          </w:tcPr>
          <w:p>
            <w:r>
              <w:t>The decreasein operating grantsand contributionswasdue mostlytothe decreasein Federal Cares Act fundsas remaining funds have been spent down, as wellasa decreasein revenue relatedtothe Supplemental Nutrition Assistance Program.</w:t>
            </w:r>
          </w:p>
        </w:tc>
      </w:tr>
      <w:tr>
        <w:tc>
          <w:tcPr>
            <w:tcW w:type="dxa" w:w="1656"/>
          </w:tcPr>
          <w:p>
            <w:r>
              <w:t>COVID</w:t>
            </w:r>
          </w:p>
        </w:tc>
        <w:tc>
          <w:tcPr>
            <w:tcW w:type="dxa" w:w="1656"/>
          </w:tcPr>
          <w:p>
            <w:r>
              <w:t>Unclear / Analyst Review Required</w:t>
            </w:r>
          </w:p>
        </w:tc>
        <w:tc>
          <w:tcPr>
            <w:tcW w:type="dxa" w:w="1656"/>
          </w:tcPr>
          <w:p>
            <w:r>
              <w:t>Medium</w:t>
            </w:r>
          </w:p>
        </w:tc>
        <w:tc>
          <w:tcPr>
            <w:tcW w:type="dxa" w:w="1656"/>
          </w:tcPr>
          <w:p>
            <w:r>
              <w:t>High</w:t>
            </w:r>
          </w:p>
        </w:tc>
        <w:tc>
          <w:tcPr>
            <w:tcW w:type="dxa" w:w="1656"/>
          </w:tcPr>
          <w:p>
            <w:r>
              <w:t>ACFR_Final_2024_-_Bookmarked.pdf | Page 15</w:t>
            </w:r>
          </w:p>
        </w:tc>
        <w:tc>
          <w:tcPr>
            <w:tcW w:type="dxa" w:w="1656"/>
          </w:tcPr>
          <w:p>
            <w:r>
              <w:t>During fiscal year 2023, $450 millionwas appropriated, asa loan, fromthe General Revenue Accounttothe Unemployment Compensation Trust Fundtoaidinthe repaymentofa portionofthe federal advances that were borrowedasa resultofthe COVID-19 pandemic.</w:t>
            </w:r>
          </w:p>
        </w:tc>
      </w:tr>
    </w:tbl>
    <w:p>
      <w:pPr>
        <w:pStyle w:val="Heading1"/>
      </w:pPr>
      <w:r>
        <w:t>Documents Reviewed</w:t>
      </w:r>
    </w:p>
    <w:p>
      <w:r>
        <w:t>Audited Financials / ACFR - ACFR_Final_2024_-_Bookmarked.pdf - uploaded 2026-06-10T18:30:40.618652</w:t>
      </w:r>
    </w:p>
    <w:p>
      <w:pPr>
        <w:pStyle w:val="Heading1"/>
      </w:pPr>
      <w:r>
        <w:t>Workflow / Approval</w:t>
      </w:r>
    </w:p>
    <w:p>
      <w:r>
        <w:t>Workflow Stage: Draft</w:t>
      </w:r>
    </w:p>
    <w:p>
      <w:r>
        <w:t>Mentor Status: Not Submitted</w:t>
      </w:r>
    </w:p>
    <w:p>
      <w:r>
        <w:t>Junior Analyst: MZ Junior</w:t>
      </w:r>
    </w:p>
    <w:p>
      <w:r>
        <w:t>Senior Mentor: MZ Senior</w:t>
      </w:r>
    </w:p>
    <w:p>
      <w:r>
        <w:t>Approved By: Not approved</w:t>
      </w:r>
    </w:p>
    <w:p>
      <w:r>
        <w:t>Approved At: Not approved</w:t>
      </w:r>
    </w:p>
    <w:p>
      <w:r>
        <w:t>Locked At: Not locked</w:t>
      </w:r>
    </w:p>
    <w:p>
      <w:r>
        <w:br/>
        <w:t>This report is an internal credit analysis aid and does not constitute a rating. Final investment decisions require analyst review and approval.</w:t>
      </w:r>
    </w:p>
    <w:sectPr w:rsidR="00FC693F" w:rsidRPr="0006063C" w:rsidSect="00034616">
      <w:footerReference w:type="default" r:id="rId9"/>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Confidential - Internal Use Only</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